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8EDB" w14:textId="61D9B3E3" w:rsidR="00D7142D" w:rsidRDefault="00D7142D">
      <w:pPr>
        <w:spacing w:after="0" w:line="259" w:lineRule="auto"/>
        <w:ind w:left="59" w:firstLine="0"/>
        <w:jc w:val="center"/>
      </w:pPr>
    </w:p>
    <w:p w14:paraId="258466DD" w14:textId="77777777" w:rsidR="00D7142D" w:rsidRPr="005F4A4D" w:rsidRDefault="005F4A4D">
      <w:pPr>
        <w:pStyle w:val="Heading2"/>
        <w:ind w:left="-5"/>
        <w:rPr>
          <w:u w:val="single"/>
        </w:rPr>
      </w:pPr>
      <w:r w:rsidRPr="005F4A4D">
        <w:rPr>
          <w:u w:val="single"/>
        </w:rPr>
        <w:t xml:space="preserve">Introduction and Objectives </w:t>
      </w:r>
    </w:p>
    <w:p w14:paraId="636AF723" w14:textId="77777777" w:rsidR="00D7142D" w:rsidRDefault="005F4A4D">
      <w:pPr>
        <w:ind w:left="-5"/>
      </w:pPr>
      <w:r>
        <w:t xml:space="preserve"> </w:t>
      </w:r>
      <w:r>
        <w:t xml:space="preserve">A grant is a payment made by the Parish Council to be used by an organisation for a specific purpose that will benefit the Parish, or residents of the Parish, and which is not directly controlled or administered by the Council. </w:t>
      </w:r>
    </w:p>
    <w:p w14:paraId="1997E52A" w14:textId="77777777" w:rsidR="00D7142D" w:rsidRDefault="005F4A4D">
      <w:pPr>
        <w:spacing w:after="0" w:line="259" w:lineRule="auto"/>
        <w:ind w:left="0" w:firstLine="0"/>
      </w:pPr>
      <w:r>
        <w:t xml:space="preserve"> </w:t>
      </w:r>
    </w:p>
    <w:p w14:paraId="733F41DD" w14:textId="4F109FD1" w:rsidR="00D7142D" w:rsidRDefault="00946B25">
      <w:pPr>
        <w:spacing w:after="129"/>
        <w:ind w:left="-5"/>
      </w:pPr>
      <w:r>
        <w:t>Nether Wallop</w:t>
      </w:r>
      <w:r w:rsidR="005F4A4D">
        <w:t xml:space="preserve"> Parish Council h</w:t>
      </w:r>
      <w:r w:rsidR="005F4A4D">
        <w:t xml:space="preserve">as a small budget for the award of grants and encourages projects that will enhance the wellbeing of the community through providing additional services or facilities, improving or protecting existing groups.  </w:t>
      </w:r>
    </w:p>
    <w:p w14:paraId="039BCBA7" w14:textId="77777777" w:rsidR="005F4A4D" w:rsidRDefault="005F4A4D" w:rsidP="005F4A4D">
      <w:pPr>
        <w:spacing w:after="119" w:line="259" w:lineRule="auto"/>
        <w:ind w:left="0" w:firstLine="0"/>
        <w:rPr>
          <w:b/>
          <w:bCs/>
          <w:u w:val="single"/>
        </w:rPr>
      </w:pPr>
      <w:r w:rsidRPr="005F4A4D">
        <w:rPr>
          <w:b/>
          <w:bCs/>
          <w:u w:val="single"/>
        </w:rPr>
        <w:t xml:space="preserve">Policy </w:t>
      </w:r>
    </w:p>
    <w:p w14:paraId="39CBDB58" w14:textId="48807881" w:rsidR="00D7142D" w:rsidRDefault="005F4A4D" w:rsidP="005F4A4D">
      <w:pPr>
        <w:spacing w:after="119" w:line="259" w:lineRule="auto"/>
        <w:ind w:left="0" w:firstLine="0"/>
      </w:pPr>
      <w:r>
        <w:t>T</w:t>
      </w:r>
      <w:r>
        <w:t>he Parish Council will consider Gr</w:t>
      </w:r>
      <w:r>
        <w:t xml:space="preserve">ant Applications for activities which it can legally support with due regard to legislation such as:  </w:t>
      </w:r>
    </w:p>
    <w:p w14:paraId="5CAA827B" w14:textId="77777777" w:rsidR="00D7142D" w:rsidRDefault="005F4A4D">
      <w:pPr>
        <w:numPr>
          <w:ilvl w:val="0"/>
          <w:numId w:val="1"/>
        </w:numPr>
        <w:spacing w:after="146" w:line="258" w:lineRule="auto"/>
        <w:ind w:hanging="360"/>
      </w:pPr>
      <w:r>
        <w:t xml:space="preserve">Local Government Act 1972 (Section 137). “A Local Authority may, subject to the provisions </w:t>
      </w:r>
      <w:r>
        <w:t>of this section, incur expenditure which in their opinion is i</w:t>
      </w:r>
      <w:r>
        <w:t xml:space="preserve">n the interests of their area or any </w:t>
      </w:r>
      <w:r>
        <w:t xml:space="preserve">part of it or all or some of its inhabitants.” </w:t>
      </w:r>
      <w:r>
        <w:t xml:space="preserve"> </w:t>
      </w:r>
    </w:p>
    <w:p w14:paraId="145C80E1" w14:textId="77777777" w:rsidR="00D7142D" w:rsidRDefault="005F4A4D">
      <w:pPr>
        <w:numPr>
          <w:ilvl w:val="0"/>
          <w:numId w:val="1"/>
        </w:numPr>
        <w:spacing w:after="146" w:line="258" w:lineRule="auto"/>
        <w:ind w:hanging="360"/>
      </w:pPr>
      <w:r>
        <w:t xml:space="preserve">Local Government Act 1972 (Section 145). “A local Authority may do, or arrange for the </w:t>
      </w:r>
      <w:r>
        <w:t>doing of, or contribute towards the expense of the doing of, anything (whether insi</w:t>
      </w:r>
      <w:r>
        <w:t xml:space="preserve">de or </w:t>
      </w:r>
      <w:r>
        <w:t>outside their area) necessary or expedient for any of the following purposes” i.</w:t>
      </w:r>
      <w:r>
        <w:t xml:space="preserve">e. provision </w:t>
      </w:r>
      <w:r>
        <w:t xml:space="preserve">and promotion of entertainment, arts and crafts.” </w:t>
      </w:r>
      <w:r>
        <w:t xml:space="preserve"> </w:t>
      </w:r>
    </w:p>
    <w:p w14:paraId="3BC8E333" w14:textId="77777777" w:rsidR="00D7142D" w:rsidRDefault="005F4A4D">
      <w:pPr>
        <w:numPr>
          <w:ilvl w:val="0"/>
          <w:numId w:val="1"/>
        </w:numPr>
        <w:spacing w:after="155"/>
        <w:ind w:hanging="360"/>
      </w:pPr>
      <w:r>
        <w:t xml:space="preserve">Local Government (Miscellaneous Provisions) Act 1976 (Section 19 </w:t>
      </w:r>
      <w:r>
        <w:t>–</w:t>
      </w:r>
      <w:r>
        <w:t xml:space="preserve"> recreational facilities). </w:t>
      </w:r>
      <w:r>
        <w:t xml:space="preserve">“A Local Authority may contribute by way of grant or loan towards the expenses incurred or </w:t>
      </w:r>
      <w:r>
        <w:t>to be incurred by any voluntary organisation in providing recreation fac</w:t>
      </w:r>
      <w:r>
        <w:t xml:space="preserve">ilities which the </w:t>
      </w:r>
      <w:r>
        <w:t xml:space="preserve">authority has power to provide.” </w:t>
      </w:r>
      <w:r>
        <w:t xml:space="preserve"> </w:t>
      </w:r>
    </w:p>
    <w:p w14:paraId="24C0DC7E" w14:textId="77777777" w:rsidR="00D7142D" w:rsidRDefault="005F4A4D">
      <w:pPr>
        <w:numPr>
          <w:ilvl w:val="0"/>
          <w:numId w:val="1"/>
        </w:numPr>
        <w:ind w:hanging="360"/>
      </w:pPr>
      <w:r>
        <w:t xml:space="preserve">The amount of grant requested is commensurate with the benefit to the community </w:t>
      </w:r>
    </w:p>
    <w:p w14:paraId="15D793C2" w14:textId="77777777" w:rsidR="00D7142D" w:rsidRDefault="005F4A4D">
      <w:pPr>
        <w:spacing w:after="0" w:line="259" w:lineRule="auto"/>
        <w:ind w:left="0" w:firstLine="0"/>
      </w:pPr>
      <w:r>
        <w:t xml:space="preserve"> </w:t>
      </w:r>
    </w:p>
    <w:p w14:paraId="0A4C45FB" w14:textId="77777777" w:rsidR="00D7142D" w:rsidRDefault="005F4A4D">
      <w:pPr>
        <w:spacing w:after="153"/>
        <w:ind w:left="-5"/>
      </w:pPr>
      <w:r>
        <w:t xml:space="preserve">Applications WILL NOT be considered from:  </w:t>
      </w:r>
    </w:p>
    <w:p w14:paraId="2B25731F" w14:textId="77777777" w:rsidR="00D7142D" w:rsidRDefault="005F4A4D" w:rsidP="005F4A4D">
      <w:pPr>
        <w:numPr>
          <w:ilvl w:val="0"/>
          <w:numId w:val="1"/>
        </w:numPr>
        <w:spacing w:after="138" w:line="240" w:lineRule="auto"/>
        <w:ind w:left="714" w:hanging="357"/>
      </w:pPr>
      <w:r>
        <w:t xml:space="preserve">Organisations intending to support or oppose any particular political party </w:t>
      </w:r>
      <w:r>
        <w:t xml:space="preserve">or to discriminate on the grounds of race or religion.  </w:t>
      </w:r>
    </w:p>
    <w:p w14:paraId="56BE23EF" w14:textId="77777777" w:rsidR="00D7142D" w:rsidRDefault="005F4A4D" w:rsidP="005F4A4D">
      <w:pPr>
        <w:numPr>
          <w:ilvl w:val="0"/>
          <w:numId w:val="1"/>
        </w:numPr>
        <w:spacing w:after="130" w:line="240" w:lineRule="auto"/>
        <w:ind w:left="714" w:hanging="357"/>
      </w:pPr>
      <w:r>
        <w:t xml:space="preserve">Private organisations operated as a business to make a profit or surplus. </w:t>
      </w:r>
    </w:p>
    <w:p w14:paraId="4230F1B4" w14:textId="77777777" w:rsidR="005F4A4D" w:rsidRDefault="005F4A4D" w:rsidP="006F3BDD">
      <w:pPr>
        <w:numPr>
          <w:ilvl w:val="0"/>
          <w:numId w:val="1"/>
        </w:numPr>
        <w:spacing w:after="128" w:line="240" w:lineRule="auto"/>
        <w:ind w:hanging="360"/>
      </w:pPr>
      <w:r>
        <w:t xml:space="preserve">Local groups whose funding is sent to their central HQ for distribution. </w:t>
      </w:r>
    </w:p>
    <w:p w14:paraId="753C2DDB" w14:textId="134E6979" w:rsidR="005F4A4D" w:rsidRDefault="005F4A4D" w:rsidP="006F3BDD">
      <w:pPr>
        <w:numPr>
          <w:ilvl w:val="0"/>
          <w:numId w:val="1"/>
        </w:numPr>
        <w:spacing w:after="128" w:line="240" w:lineRule="auto"/>
        <w:ind w:hanging="360"/>
      </w:pPr>
      <w:r>
        <w:t>National charities</w:t>
      </w:r>
    </w:p>
    <w:p w14:paraId="0A049CF0" w14:textId="058B5AF3" w:rsidR="00946B25" w:rsidRDefault="00946B25" w:rsidP="005F4A4D">
      <w:pPr>
        <w:numPr>
          <w:ilvl w:val="0"/>
          <w:numId w:val="1"/>
        </w:numPr>
        <w:spacing w:line="240" w:lineRule="auto"/>
        <w:ind w:hanging="360"/>
      </w:pPr>
      <w:r>
        <w:t>Political parties</w:t>
      </w:r>
    </w:p>
    <w:p w14:paraId="4E2CD872" w14:textId="297861C9" w:rsidR="0096421D" w:rsidRDefault="0096421D" w:rsidP="0096421D"/>
    <w:p w14:paraId="03875320" w14:textId="77777777" w:rsidR="0096421D" w:rsidRPr="005F4A4D" w:rsidRDefault="0096421D" w:rsidP="0096421D">
      <w:pPr>
        <w:rPr>
          <w:b/>
          <w:bCs/>
          <w:u w:val="single"/>
        </w:rPr>
      </w:pPr>
      <w:r w:rsidRPr="005F4A4D">
        <w:rPr>
          <w:b/>
          <w:bCs/>
          <w:u w:val="single"/>
        </w:rPr>
        <w:t>Criteria.</w:t>
      </w:r>
    </w:p>
    <w:p w14:paraId="22EFAF14" w14:textId="77777777" w:rsidR="0096421D" w:rsidRDefault="0096421D" w:rsidP="0096421D">
      <w:r>
        <w:t>Each application will be assessed on its own merits and will be considered along with other applications at the meeting. In particular the Council will consider:</w:t>
      </w:r>
    </w:p>
    <w:p w14:paraId="601C4FC8" w14:textId="77777777" w:rsidR="0096421D" w:rsidRDefault="0096421D" w:rsidP="0096421D"/>
    <w:p w14:paraId="392D8A5E" w14:textId="77777777" w:rsidR="0096421D" w:rsidRDefault="0096421D" w:rsidP="005F4A4D">
      <w:pPr>
        <w:pStyle w:val="ListParagraph"/>
        <w:numPr>
          <w:ilvl w:val="0"/>
          <w:numId w:val="3"/>
        </w:numPr>
      </w:pPr>
      <w:r>
        <w:t>How well the grant will provide benefit to Parishioners</w:t>
      </w:r>
    </w:p>
    <w:p w14:paraId="23220268" w14:textId="77777777" w:rsidR="0096421D" w:rsidRDefault="0096421D" w:rsidP="005F4A4D">
      <w:pPr>
        <w:pStyle w:val="ListParagraph"/>
        <w:numPr>
          <w:ilvl w:val="0"/>
          <w:numId w:val="3"/>
        </w:numPr>
      </w:pPr>
      <w:r>
        <w:t>How effectively the group will use the grant.</w:t>
      </w:r>
    </w:p>
    <w:p w14:paraId="6AC3037B" w14:textId="77777777" w:rsidR="0096421D" w:rsidRDefault="0096421D" w:rsidP="005F4A4D">
      <w:pPr>
        <w:pStyle w:val="ListParagraph"/>
        <w:numPr>
          <w:ilvl w:val="0"/>
          <w:numId w:val="3"/>
        </w:numPr>
      </w:pPr>
      <w:r>
        <w:t>Whether the costs are appropriate and realistic.</w:t>
      </w:r>
    </w:p>
    <w:p w14:paraId="5E579F0A" w14:textId="77777777" w:rsidR="005F4A4D" w:rsidRDefault="0096421D" w:rsidP="00265E8E">
      <w:pPr>
        <w:pStyle w:val="ListParagraph"/>
        <w:numPr>
          <w:ilvl w:val="0"/>
          <w:numId w:val="3"/>
        </w:numPr>
      </w:pPr>
      <w:r>
        <w:t>What level of contributions ha</w:t>
      </w:r>
      <w:r w:rsidR="005F4A4D">
        <w:t xml:space="preserve">ve </w:t>
      </w:r>
      <w:r>
        <w:t xml:space="preserve">been, or will be, raised in addition to the grant. </w:t>
      </w:r>
      <w:r w:rsidR="005F4A4D">
        <w:t xml:space="preserve">The maximum that the Council usually provides is to match the funds provided by the requesting group.  </w:t>
      </w:r>
    </w:p>
    <w:p w14:paraId="4E280DA5" w14:textId="183D83B4" w:rsidR="00D7142D" w:rsidRDefault="00D7142D" w:rsidP="005F4A4D">
      <w:pPr>
        <w:spacing w:after="0" w:line="259" w:lineRule="auto"/>
        <w:ind w:left="0" w:firstLine="45"/>
      </w:pPr>
    </w:p>
    <w:p w14:paraId="3082C5BD" w14:textId="627D320D" w:rsidR="00D7142D" w:rsidRDefault="00D7142D">
      <w:pPr>
        <w:spacing w:after="0" w:line="259" w:lineRule="auto"/>
        <w:ind w:left="0" w:firstLine="0"/>
      </w:pPr>
    </w:p>
    <w:p w14:paraId="23E8BA81" w14:textId="7F585B49" w:rsidR="00D7142D" w:rsidRPr="005F4A4D" w:rsidRDefault="005F4A4D">
      <w:pPr>
        <w:spacing w:after="0" w:line="259" w:lineRule="auto"/>
        <w:ind w:left="0" w:firstLine="0"/>
        <w:rPr>
          <w:b/>
          <w:bCs/>
          <w:u w:val="single"/>
        </w:rPr>
      </w:pPr>
      <w:r w:rsidRPr="005F4A4D">
        <w:rPr>
          <w:b/>
          <w:bCs/>
          <w:u w:val="single"/>
        </w:rPr>
        <w:t xml:space="preserve"> </w:t>
      </w:r>
      <w:r w:rsidR="0096421D" w:rsidRPr="005F4A4D">
        <w:rPr>
          <w:b/>
          <w:bCs/>
          <w:u w:val="single"/>
        </w:rPr>
        <w:t>Conditions</w:t>
      </w:r>
    </w:p>
    <w:p w14:paraId="7BB2EAAA" w14:textId="77777777" w:rsidR="0096421D" w:rsidRDefault="0096421D">
      <w:pPr>
        <w:spacing w:after="0" w:line="259" w:lineRule="auto"/>
        <w:ind w:left="0" w:firstLine="0"/>
      </w:pPr>
    </w:p>
    <w:tbl>
      <w:tblPr>
        <w:tblStyle w:val="TableGrid"/>
        <w:tblW w:w="15647" w:type="dxa"/>
        <w:tblInd w:w="0" w:type="dxa"/>
        <w:tblCellMar>
          <w:top w:w="0" w:type="dxa"/>
          <w:left w:w="0" w:type="dxa"/>
          <w:bottom w:w="0" w:type="dxa"/>
          <w:right w:w="0" w:type="dxa"/>
        </w:tblCellMar>
        <w:tblLook w:val="04A0" w:firstRow="1" w:lastRow="0" w:firstColumn="1" w:lastColumn="0" w:noHBand="0" w:noVBand="1"/>
      </w:tblPr>
      <w:tblGrid>
        <w:gridCol w:w="9356"/>
        <w:gridCol w:w="2463"/>
        <w:gridCol w:w="3828"/>
      </w:tblGrid>
      <w:tr w:rsidR="00D7142D" w14:paraId="7C73DD70" w14:textId="77777777" w:rsidTr="005F4A4D">
        <w:trPr>
          <w:trHeight w:val="382"/>
        </w:trPr>
        <w:tc>
          <w:tcPr>
            <w:tcW w:w="9356" w:type="dxa"/>
            <w:tcBorders>
              <w:top w:val="nil"/>
              <w:left w:val="nil"/>
              <w:bottom w:val="nil"/>
              <w:right w:val="nil"/>
            </w:tcBorders>
          </w:tcPr>
          <w:p w14:paraId="35E94C41" w14:textId="645AE376" w:rsidR="0096421D" w:rsidRDefault="0096421D" w:rsidP="0096421D">
            <w:pPr>
              <w:spacing w:after="0" w:line="259" w:lineRule="auto"/>
              <w:ind w:left="0" w:firstLine="0"/>
            </w:pPr>
            <w:r>
              <w:t>The Parish Council reserves the right to reclaim any grant</w:t>
            </w:r>
            <w:r w:rsidR="005F4A4D">
              <w:t xml:space="preserve"> or portion of a grant</w:t>
            </w:r>
            <w:r>
              <w:t xml:space="preserve"> not being used for the purpose specified on the application form. The Parish Clerk will, therefore, be allowed to verify that the monies have been spent accordingly;</w:t>
            </w:r>
          </w:p>
          <w:p w14:paraId="521F31A7" w14:textId="3A343670" w:rsidR="0096421D" w:rsidRDefault="0096421D" w:rsidP="0096421D">
            <w:pPr>
              <w:spacing w:after="0" w:line="259" w:lineRule="auto"/>
              <w:ind w:left="0" w:firstLine="0"/>
            </w:pPr>
            <w:r>
              <w:t>Should the Parish Council request proper evidence of actual or estimated expenditure must be supplied to the Parish Council prior to the payment of any grant. If the Parish Council is not satisfied with the arrangements it reserves the right to request a refund of monies awarded.</w:t>
            </w:r>
          </w:p>
          <w:p w14:paraId="00194759" w14:textId="77777777" w:rsidR="005F4A4D" w:rsidRDefault="005F4A4D" w:rsidP="0096421D">
            <w:pPr>
              <w:spacing w:after="0" w:line="259" w:lineRule="auto"/>
              <w:ind w:left="0" w:firstLine="0"/>
            </w:pPr>
          </w:p>
          <w:p w14:paraId="3247AE59" w14:textId="41D8EE21" w:rsidR="00D7142D" w:rsidRDefault="0096421D" w:rsidP="0096421D">
            <w:pPr>
              <w:spacing w:after="0" w:line="259" w:lineRule="auto"/>
              <w:ind w:left="0" w:firstLine="0"/>
            </w:pPr>
            <w:r>
              <w:t>An acknowledgement on receipt of the grant cheque</w:t>
            </w:r>
            <w:r w:rsidR="005F4A4D">
              <w:t xml:space="preserve"> or bank transfer</w:t>
            </w:r>
            <w:r>
              <w:t xml:space="preserve"> is required</w:t>
            </w:r>
            <w:r w:rsidR="005F4A4D">
              <w:t>.</w:t>
            </w:r>
          </w:p>
        </w:tc>
        <w:tc>
          <w:tcPr>
            <w:tcW w:w="2463" w:type="dxa"/>
            <w:tcBorders>
              <w:top w:val="nil"/>
              <w:left w:val="nil"/>
              <w:bottom w:val="nil"/>
              <w:right w:val="nil"/>
            </w:tcBorders>
          </w:tcPr>
          <w:p w14:paraId="02F84AC0" w14:textId="77777777" w:rsidR="00D7142D" w:rsidRDefault="00D7142D">
            <w:pPr>
              <w:spacing w:after="160" w:line="259" w:lineRule="auto"/>
              <w:ind w:left="0" w:firstLine="0"/>
            </w:pPr>
          </w:p>
        </w:tc>
        <w:tc>
          <w:tcPr>
            <w:tcW w:w="3828" w:type="dxa"/>
            <w:tcBorders>
              <w:top w:val="nil"/>
              <w:left w:val="nil"/>
              <w:bottom w:val="nil"/>
              <w:right w:val="nil"/>
            </w:tcBorders>
          </w:tcPr>
          <w:p w14:paraId="0A5866FE" w14:textId="77777777" w:rsidR="00D7142D" w:rsidRDefault="005F4A4D">
            <w:pPr>
              <w:spacing w:after="0" w:line="259" w:lineRule="auto"/>
              <w:ind w:left="2228" w:firstLine="0"/>
              <w:jc w:val="center"/>
            </w:pPr>
            <w:r>
              <w:t xml:space="preserve"> </w:t>
            </w:r>
          </w:p>
        </w:tc>
      </w:tr>
      <w:tr w:rsidR="00D7142D" w14:paraId="5F50B06B" w14:textId="77777777" w:rsidTr="005F4A4D">
        <w:trPr>
          <w:trHeight w:val="382"/>
        </w:trPr>
        <w:tc>
          <w:tcPr>
            <w:tcW w:w="9356" w:type="dxa"/>
            <w:tcBorders>
              <w:top w:val="nil"/>
              <w:left w:val="nil"/>
              <w:bottom w:val="nil"/>
              <w:right w:val="nil"/>
            </w:tcBorders>
            <w:vAlign w:val="bottom"/>
          </w:tcPr>
          <w:p w14:paraId="0403073F" w14:textId="083E0EEE" w:rsidR="00D7142D" w:rsidRDefault="00D7142D">
            <w:pPr>
              <w:spacing w:after="0" w:line="259" w:lineRule="auto"/>
              <w:ind w:left="0" w:firstLine="0"/>
            </w:pPr>
          </w:p>
        </w:tc>
        <w:tc>
          <w:tcPr>
            <w:tcW w:w="2463" w:type="dxa"/>
            <w:tcBorders>
              <w:top w:val="nil"/>
              <w:left w:val="nil"/>
              <w:bottom w:val="nil"/>
              <w:right w:val="nil"/>
            </w:tcBorders>
            <w:vAlign w:val="bottom"/>
          </w:tcPr>
          <w:p w14:paraId="03399FEE" w14:textId="2E6232A7" w:rsidR="00D7142D" w:rsidRDefault="00D7142D">
            <w:pPr>
              <w:spacing w:after="0" w:line="259" w:lineRule="auto"/>
              <w:ind w:left="0" w:right="234" w:firstLine="0"/>
              <w:jc w:val="right"/>
            </w:pPr>
          </w:p>
        </w:tc>
        <w:tc>
          <w:tcPr>
            <w:tcW w:w="3828" w:type="dxa"/>
            <w:tcBorders>
              <w:top w:val="nil"/>
              <w:left w:val="nil"/>
              <w:bottom w:val="nil"/>
              <w:right w:val="nil"/>
            </w:tcBorders>
            <w:vAlign w:val="bottom"/>
          </w:tcPr>
          <w:p w14:paraId="54B92F19" w14:textId="40AFABE4" w:rsidR="00D7142D" w:rsidRDefault="00D7142D">
            <w:pPr>
              <w:spacing w:after="0" w:line="259" w:lineRule="auto"/>
              <w:ind w:left="0" w:right="49" w:firstLine="0"/>
              <w:jc w:val="right"/>
            </w:pPr>
          </w:p>
        </w:tc>
      </w:tr>
    </w:tbl>
    <w:p w14:paraId="7C1346D5" w14:textId="090C85ED" w:rsidR="00D7142D" w:rsidRDefault="005F4A4D" w:rsidP="005F4A4D">
      <w:pPr>
        <w:spacing w:after="0" w:line="259" w:lineRule="auto"/>
        <w:ind w:left="0" w:firstLine="0"/>
      </w:pPr>
      <w:r>
        <w:t xml:space="preserve">The Parish Council encourages requesting groups to seek other sources of funding, Hampshire County Council and Test Valley Borough Council both have voluntary group funding available. </w:t>
      </w:r>
    </w:p>
    <w:p w14:paraId="0A914308" w14:textId="77777777" w:rsidR="00D7142D" w:rsidRDefault="005F4A4D">
      <w:pPr>
        <w:spacing w:after="0" w:line="259" w:lineRule="auto"/>
        <w:ind w:left="0" w:firstLine="0"/>
      </w:pPr>
      <w:r>
        <w:t xml:space="preserve"> </w:t>
      </w:r>
    </w:p>
    <w:p w14:paraId="01C54D45" w14:textId="77777777" w:rsidR="00D7142D" w:rsidRDefault="005F4A4D">
      <w:pPr>
        <w:ind w:left="-5"/>
      </w:pPr>
      <w:r>
        <w:t xml:space="preserve">Parish Council reserves the right to request any further information </w:t>
      </w:r>
      <w:r>
        <w:t xml:space="preserve">that it deems necessary to assist in its consideration of the application.  </w:t>
      </w:r>
    </w:p>
    <w:p w14:paraId="09320EDC" w14:textId="77777777" w:rsidR="00D7142D" w:rsidRDefault="005F4A4D">
      <w:pPr>
        <w:spacing w:after="0" w:line="259" w:lineRule="auto"/>
        <w:ind w:left="0" w:firstLine="0"/>
      </w:pPr>
      <w:r>
        <w:t xml:space="preserve"> </w:t>
      </w:r>
    </w:p>
    <w:p w14:paraId="6070C9A4" w14:textId="77777777" w:rsidR="00D7142D" w:rsidRDefault="005F4A4D">
      <w:pPr>
        <w:ind w:left="-5"/>
      </w:pPr>
      <w:r>
        <w:t xml:space="preserve">Any unspent portion of the grant awarded should be returned to the Parish Council by the end of the financial year in which it was awarded. </w:t>
      </w:r>
    </w:p>
    <w:p w14:paraId="61F4807E" w14:textId="77777777" w:rsidR="00D7142D" w:rsidRDefault="005F4A4D">
      <w:pPr>
        <w:spacing w:after="0" w:line="259" w:lineRule="auto"/>
        <w:ind w:left="0" w:firstLine="0"/>
      </w:pPr>
      <w:r>
        <w:t xml:space="preserve"> </w:t>
      </w:r>
    </w:p>
    <w:p w14:paraId="7BF25037" w14:textId="77777777" w:rsidR="00D7142D" w:rsidRDefault="005F4A4D">
      <w:pPr>
        <w:ind w:left="-5"/>
      </w:pPr>
      <w:r>
        <w:t xml:space="preserve">Ongoing commitments to award grants in future years will not be made. A new application is required each time. </w:t>
      </w:r>
    </w:p>
    <w:p w14:paraId="19FC4425" w14:textId="77777777" w:rsidR="00D7142D" w:rsidRDefault="005F4A4D">
      <w:pPr>
        <w:spacing w:after="0" w:line="259" w:lineRule="auto"/>
        <w:ind w:left="0" w:firstLine="0"/>
      </w:pPr>
      <w:r>
        <w:t xml:space="preserve"> </w:t>
      </w:r>
    </w:p>
    <w:p w14:paraId="7DCF0426" w14:textId="77777777" w:rsidR="00D7142D" w:rsidRDefault="005F4A4D">
      <w:pPr>
        <w:ind w:left="-5"/>
      </w:pPr>
      <w:r>
        <w:t xml:space="preserve">Grant applications cannot be made retrospectively. i.e. applications will not be funded where the expenditure has been made, the project has been carried out or the event has taken place. </w:t>
      </w:r>
    </w:p>
    <w:p w14:paraId="09DF154D" w14:textId="77777777" w:rsidR="00D7142D" w:rsidRDefault="005F4A4D">
      <w:pPr>
        <w:spacing w:after="0" w:line="259" w:lineRule="auto"/>
        <w:ind w:left="0" w:firstLine="0"/>
      </w:pPr>
      <w:r>
        <w:t xml:space="preserve"> </w:t>
      </w:r>
    </w:p>
    <w:p w14:paraId="4E40E93D" w14:textId="77777777" w:rsidR="00D7142D" w:rsidRDefault="005F4A4D">
      <w:pPr>
        <w:ind w:left="-5"/>
      </w:pPr>
      <w:r>
        <w:t>The council reserves the right to refuse any grant application w</w:t>
      </w:r>
      <w:r>
        <w:t xml:space="preserve">hich is considered to be inappropriate or against the objectives of the council. </w:t>
      </w:r>
    </w:p>
    <w:p w14:paraId="2B40A0D4" w14:textId="77777777" w:rsidR="00D7142D" w:rsidRDefault="005F4A4D">
      <w:pPr>
        <w:spacing w:after="0" w:line="259" w:lineRule="auto"/>
        <w:ind w:left="0" w:firstLine="0"/>
      </w:pPr>
      <w:r>
        <w:t xml:space="preserve"> </w:t>
      </w:r>
    </w:p>
    <w:p w14:paraId="6966AC6C" w14:textId="77777777" w:rsidR="00D7142D" w:rsidRDefault="005F4A4D">
      <w:pPr>
        <w:pStyle w:val="Heading2"/>
        <w:spacing w:after="0"/>
        <w:ind w:left="-5"/>
      </w:pPr>
      <w:r>
        <w:t>Application</w:t>
      </w:r>
      <w:r>
        <w:rPr>
          <w:b w:val="0"/>
        </w:rPr>
        <w:t xml:space="preserve"> </w:t>
      </w:r>
    </w:p>
    <w:p w14:paraId="22F1890C" w14:textId="77777777" w:rsidR="00D7142D" w:rsidRDefault="005F4A4D">
      <w:pPr>
        <w:ind w:left="-5" w:right="100"/>
      </w:pPr>
      <w:r>
        <w:t>Applications should be submitted to the Clerk on the appropriate Grant Funding Request Form, available to download from the Parish Council website or available on request from the Clerk.  Once received the Clerk will confirm on which agenda the application</w:t>
      </w:r>
      <w:r>
        <w:t xml:space="preserve"> will be presented for Parish Council consideration. The requesting group will be invited to attend the meeting and answer any questions the Councillors may have. </w:t>
      </w:r>
    </w:p>
    <w:p w14:paraId="272354B9" w14:textId="77777777" w:rsidR="00D7142D" w:rsidRDefault="005F4A4D">
      <w:pPr>
        <w:spacing w:after="0" w:line="259" w:lineRule="auto"/>
        <w:ind w:left="0" w:firstLine="0"/>
      </w:pPr>
      <w:r>
        <w:t xml:space="preserve"> </w:t>
      </w:r>
    </w:p>
    <w:p w14:paraId="1175FC00" w14:textId="77777777" w:rsidR="00D7142D" w:rsidRDefault="005F4A4D">
      <w:pPr>
        <w:spacing w:after="0" w:line="259" w:lineRule="auto"/>
        <w:ind w:left="0" w:firstLine="0"/>
      </w:pPr>
      <w:r>
        <w:t xml:space="preserve"> </w:t>
      </w:r>
    </w:p>
    <w:p w14:paraId="765147B7" w14:textId="77777777" w:rsidR="00D7142D" w:rsidRDefault="005F4A4D">
      <w:pPr>
        <w:spacing w:after="93" w:line="259" w:lineRule="auto"/>
        <w:ind w:left="0" w:firstLine="0"/>
      </w:pPr>
      <w:r>
        <w:t xml:space="preserve"> </w:t>
      </w:r>
    </w:p>
    <w:p w14:paraId="27392EC5" w14:textId="77777777" w:rsidR="00D7142D" w:rsidRDefault="005F4A4D">
      <w:pPr>
        <w:spacing w:after="162" w:line="259" w:lineRule="auto"/>
        <w:ind w:left="68" w:firstLine="0"/>
        <w:jc w:val="center"/>
      </w:pPr>
      <w:r>
        <w:rPr>
          <w:b/>
          <w:color w:val="00B050"/>
          <w:sz w:val="32"/>
        </w:rPr>
        <w:t xml:space="preserve"> </w:t>
      </w:r>
    </w:p>
    <w:p w14:paraId="57C3F5A2" w14:textId="77777777" w:rsidR="00D7142D" w:rsidRDefault="005F4A4D">
      <w:pPr>
        <w:spacing w:after="160" w:line="259" w:lineRule="auto"/>
        <w:ind w:left="68" w:firstLine="0"/>
        <w:jc w:val="center"/>
      </w:pPr>
      <w:r>
        <w:rPr>
          <w:b/>
          <w:color w:val="00B050"/>
          <w:sz w:val="32"/>
        </w:rPr>
        <w:t xml:space="preserve"> </w:t>
      </w:r>
    </w:p>
    <w:p w14:paraId="1D165FE4" w14:textId="4FCF8744" w:rsidR="00D7142D" w:rsidRDefault="00D7142D">
      <w:pPr>
        <w:spacing w:after="0" w:line="259" w:lineRule="auto"/>
        <w:ind w:left="0" w:firstLine="0"/>
      </w:pPr>
    </w:p>
    <w:sectPr w:rsidR="00D7142D">
      <w:headerReference w:type="default" r:id="rId7"/>
      <w:footerReference w:type="default" r:id="rId8"/>
      <w:pgSz w:w="11906" w:h="16838"/>
      <w:pgMar w:top="773" w:right="1437" w:bottom="8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164E" w14:textId="77777777" w:rsidR="00946B25" w:rsidRDefault="00946B25" w:rsidP="00946B25">
      <w:pPr>
        <w:spacing w:after="0" w:line="240" w:lineRule="auto"/>
      </w:pPr>
      <w:r>
        <w:separator/>
      </w:r>
    </w:p>
  </w:endnote>
  <w:endnote w:type="continuationSeparator" w:id="0">
    <w:p w14:paraId="4FFF39E6" w14:textId="77777777" w:rsidR="00946B25" w:rsidRDefault="00946B25" w:rsidP="0094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749407"/>
      <w:docPartObj>
        <w:docPartGallery w:val="Page Numbers (Bottom of Page)"/>
        <w:docPartUnique/>
      </w:docPartObj>
    </w:sdtPr>
    <w:sdtContent>
      <w:sdt>
        <w:sdtPr>
          <w:id w:val="-1705238520"/>
          <w:docPartObj>
            <w:docPartGallery w:val="Page Numbers (Top of Page)"/>
            <w:docPartUnique/>
          </w:docPartObj>
        </w:sdtPr>
        <w:sdtContent>
          <w:p w14:paraId="4D975085" w14:textId="610983AC" w:rsidR="00946B25" w:rsidRDefault="00946B25">
            <w:pPr>
              <w:pStyle w:val="Footer"/>
            </w:pPr>
            <w:r>
              <w:t xml:space="preserve">Nether Wallop Parish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Pr="00946B25">
              <w:rPr>
                <w:sz w:val="24"/>
                <w:szCs w:val="24"/>
              </w:rPr>
              <w:t>Version: 1 – Sept 2020</w:t>
            </w:r>
          </w:p>
        </w:sdtContent>
      </w:sdt>
    </w:sdtContent>
  </w:sdt>
  <w:p w14:paraId="153F2FED" w14:textId="051FCDF3" w:rsidR="00946B25" w:rsidRDefault="0094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1D8A5" w14:textId="77777777" w:rsidR="00946B25" w:rsidRDefault="00946B25" w:rsidP="00946B25">
      <w:pPr>
        <w:spacing w:after="0" w:line="240" w:lineRule="auto"/>
      </w:pPr>
      <w:r>
        <w:separator/>
      </w:r>
    </w:p>
  </w:footnote>
  <w:footnote w:type="continuationSeparator" w:id="0">
    <w:p w14:paraId="3AE362B5" w14:textId="77777777" w:rsidR="00946B25" w:rsidRDefault="00946B25" w:rsidP="0094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41D2" w14:textId="7028294A" w:rsidR="00946B25" w:rsidRDefault="00946B25" w:rsidP="00946B25">
    <w:pPr>
      <w:pStyle w:val="Heading1"/>
    </w:pPr>
    <w:r>
      <w:t xml:space="preserve">Nether Wallop Parish Council </w:t>
    </w:r>
  </w:p>
  <w:p w14:paraId="09CDC10B" w14:textId="373FD1F3" w:rsidR="00946B25" w:rsidRDefault="00946B25" w:rsidP="00946B25">
    <w:pPr>
      <w:spacing w:after="160" w:line="259" w:lineRule="auto"/>
      <w:ind w:left="0" w:right="2" w:firstLine="0"/>
      <w:jc w:val="center"/>
    </w:pPr>
    <w:r>
      <w:rPr>
        <w:b/>
        <w:sz w:val="28"/>
      </w:rPr>
      <w:t xml:space="preserve">Grant Awarding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F49"/>
    <w:multiLevelType w:val="hybridMultilevel"/>
    <w:tmpl w:val="56F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A782D"/>
    <w:multiLevelType w:val="hybridMultilevel"/>
    <w:tmpl w:val="4D5E957C"/>
    <w:lvl w:ilvl="0" w:tplc="5FB042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8F4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8A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6F3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84D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044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3B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A8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90D1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AA0475"/>
    <w:multiLevelType w:val="hybridMultilevel"/>
    <w:tmpl w:val="4C3268DC"/>
    <w:lvl w:ilvl="0" w:tplc="5FB0429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2D"/>
    <w:rsid w:val="00116A01"/>
    <w:rsid w:val="005F4A4D"/>
    <w:rsid w:val="00946B25"/>
    <w:rsid w:val="0096421D"/>
    <w:rsid w:val="00D7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D41"/>
  <w15:docId w15:val="{EFE474D9-5E1C-45F1-8F40-BCE1F0A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19"/>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46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25"/>
    <w:rPr>
      <w:rFonts w:ascii="Calibri" w:eastAsia="Calibri" w:hAnsi="Calibri" w:cs="Calibri"/>
      <w:color w:val="000000"/>
    </w:rPr>
  </w:style>
  <w:style w:type="paragraph" w:styleId="Footer">
    <w:name w:val="footer"/>
    <w:basedOn w:val="Normal"/>
    <w:link w:val="FooterChar"/>
    <w:uiPriority w:val="99"/>
    <w:unhideWhenUsed/>
    <w:rsid w:val="00946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25"/>
    <w:rPr>
      <w:rFonts w:ascii="Calibri" w:eastAsia="Calibri" w:hAnsi="Calibri" w:cs="Calibri"/>
      <w:color w:val="000000"/>
    </w:rPr>
  </w:style>
  <w:style w:type="paragraph" w:styleId="ListParagraph">
    <w:name w:val="List Paragraph"/>
    <w:basedOn w:val="Normal"/>
    <w:uiPriority w:val="34"/>
    <w:qFormat/>
    <w:rsid w:val="005F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6011">
      <w:bodyDiv w:val="1"/>
      <w:marLeft w:val="0"/>
      <w:marRight w:val="0"/>
      <w:marTop w:val="0"/>
      <w:marBottom w:val="0"/>
      <w:divBdr>
        <w:top w:val="none" w:sz="0" w:space="0" w:color="auto"/>
        <w:left w:val="none" w:sz="0" w:space="0" w:color="auto"/>
        <w:bottom w:val="none" w:sz="0" w:space="0" w:color="auto"/>
        <w:right w:val="none" w:sz="0" w:space="0" w:color="auto"/>
      </w:divBdr>
    </w:div>
    <w:div w:id="192237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AAPC_Clerk</dc:creator>
  <cp:keywords/>
  <cp:lastModifiedBy>Gail Foster</cp:lastModifiedBy>
  <cp:revision>4</cp:revision>
  <dcterms:created xsi:type="dcterms:W3CDTF">2020-09-14T10:19:00Z</dcterms:created>
  <dcterms:modified xsi:type="dcterms:W3CDTF">2020-09-14T10:51:00Z</dcterms:modified>
</cp:coreProperties>
</file>