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w:t>
      </w:r>
    </w:p>
    <w:p>
      <w:pPr>
        <w:pStyle w:val="Normal"/>
        <w:spacing w:before="0" w:after="0"/>
        <w:jc w:val="center"/>
        <w:rPr>
          <w:b/>
          <w:b/>
          <w:sz w:val="32"/>
          <w:szCs w:val="32"/>
        </w:rPr>
      </w:pPr>
      <w:r>
        <w:rPr>
          <w:b/>
          <w:sz w:val="32"/>
          <w:szCs w:val="32"/>
        </w:rPr>
        <w:t>HELD ON 30 NOVEMBER 2021</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S Oates (Chairman), Mr A Roberts, Mrs L Richardson, </w:t>
      </w:r>
    </w:p>
    <w:p>
      <w:pPr>
        <w:pStyle w:val="Normal"/>
        <w:spacing w:before="0" w:after="0"/>
        <w:jc w:val="both"/>
        <w:rPr/>
      </w:pPr>
      <w:r>
        <w:rPr>
          <w:sz w:val="24"/>
          <w:szCs w:val="24"/>
        </w:rPr>
        <w:t>Mr L T I Grant (Clerk/RFO)</w:t>
      </w:r>
      <w:r>
        <w:rPr>
          <w:b/>
          <w:bCs/>
          <w:sz w:val="24"/>
          <w:szCs w:val="24"/>
        </w:rPr>
        <w:t xml:space="preserve">                                                                                                                                    </w:t>
      </w:r>
    </w:p>
    <w:p>
      <w:pPr>
        <w:pStyle w:val="Normal"/>
        <w:spacing w:before="0" w:after="0"/>
        <w:ind w:right="-283" w:hanging="0"/>
        <w:jc w:val="both"/>
        <w:rPr>
          <w:sz w:val="24"/>
          <w:szCs w:val="24"/>
        </w:rPr>
      </w:pPr>
      <w:r>
        <w:rPr>
          <w:sz w:val="24"/>
          <w:szCs w:val="24"/>
        </w:rPr>
        <w:tab/>
        <w:tab/>
        <w:tab/>
        <w:tab/>
        <w:tab/>
        <w:tab/>
        <w:tab/>
        <w:tab/>
        <w:t xml:space="preserve">         </w:t>
      </w:r>
    </w:p>
    <w:tbl>
      <w:tblPr>
        <w:tblW w:w="9325" w:type="dxa"/>
        <w:jc w:val="left"/>
        <w:tblInd w:w="-58" w:type="dxa"/>
        <w:tblLayout w:type="fixed"/>
        <w:tblCellMar>
          <w:top w:w="55" w:type="dxa"/>
          <w:left w:w="55" w:type="dxa"/>
          <w:bottom w:w="55" w:type="dxa"/>
          <w:right w:w="55" w:type="dxa"/>
        </w:tblCellMar>
        <w:tblLook w:firstRow="0" w:noVBand="0" w:lastRow="0" w:firstColumn="0" w:lastColumn="0" w:noHBand="0" w:val="0000"/>
      </w:tblPr>
      <w:tblGrid>
        <w:gridCol w:w="552"/>
        <w:gridCol w:w="8745"/>
        <w:gridCol w:w="28"/>
      </w:tblGrid>
      <w:tr>
        <w:trPr>
          <w:trHeight w:val="788" w:hRule="atLeast"/>
        </w:trPr>
        <w:tc>
          <w:tcPr>
            <w:tcW w:w="552" w:type="dxa"/>
            <w:tcBorders/>
            <w:shd w:color="auto" w:fill="FFFFFF" w:val="clear"/>
          </w:tcPr>
          <w:p>
            <w:pPr>
              <w:pStyle w:val="Normal"/>
              <w:widowControl w:val="false"/>
              <w:spacing w:lineRule="auto" w:line="240" w:before="0" w:after="0"/>
              <w:jc w:val="both"/>
              <w:rPr>
                <w:b/>
                <w:b/>
                <w:sz w:val="24"/>
                <w:szCs w:val="24"/>
              </w:rPr>
            </w:pPr>
            <w:r>
              <w:rPr>
                <w:b/>
                <w:sz w:val="24"/>
                <w:szCs w:val="24"/>
              </w:rPr>
              <w:t>1.</w:t>
            </w:r>
          </w:p>
        </w:tc>
        <w:tc>
          <w:tcPr>
            <w:tcW w:w="8745" w:type="dxa"/>
            <w:tcBorders/>
            <w:shd w:color="auto" w:fill="FFFFFF" w:val="clear"/>
          </w:tcPr>
          <w:p>
            <w:pPr>
              <w:pStyle w:val="Normal"/>
              <w:widowControl w:val="false"/>
              <w:spacing w:lineRule="auto" w:line="240" w:before="0" w:after="0"/>
              <w:jc w:val="both"/>
              <w:rPr>
                <w:b/>
                <w:b/>
                <w:sz w:val="24"/>
                <w:szCs w:val="24"/>
                <w:u w:val="single"/>
              </w:rPr>
            </w:pPr>
            <w:r>
              <w:rPr>
                <w:b/>
                <w:sz w:val="24"/>
                <w:szCs w:val="24"/>
                <w:u w:val="single"/>
              </w:rPr>
              <w:t>Apologies for Absence</w:t>
            </w:r>
          </w:p>
          <w:p>
            <w:pPr>
              <w:pStyle w:val="Normal"/>
              <w:widowControl w:val="false"/>
              <w:spacing w:lineRule="auto" w:line="240" w:before="0" w:after="0"/>
              <w:jc w:val="both"/>
              <w:rPr/>
            </w:pPr>
            <w:r>
              <w:rPr>
                <w:sz w:val="24"/>
                <w:szCs w:val="24"/>
              </w:rPr>
              <w:t>Clls Mrs D Spry, Mr A Hamilton</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800" w:hRule="atLeast"/>
        </w:trPr>
        <w:tc>
          <w:tcPr>
            <w:tcW w:w="552" w:type="dxa"/>
            <w:tcBorders/>
            <w:shd w:color="auto" w:fill="FFFFFF" w:val="clear"/>
          </w:tcPr>
          <w:p>
            <w:pPr>
              <w:pStyle w:val="Normal"/>
              <w:widowControl w:val="false"/>
              <w:spacing w:lineRule="auto" w:line="240" w:before="0" w:after="0"/>
              <w:jc w:val="both"/>
              <w:rPr>
                <w:b/>
                <w:b/>
                <w:bCs/>
              </w:rPr>
            </w:pPr>
            <w:r>
              <w:rPr>
                <w:b/>
                <w:bCs/>
              </w:rPr>
              <w:t>2.</w:t>
            </w:r>
          </w:p>
        </w:tc>
        <w:tc>
          <w:tcPr>
            <w:tcW w:w="8745" w:type="dxa"/>
            <w:tcBorders/>
            <w:shd w:color="auto" w:fill="FFFFFF" w:val="clear"/>
          </w:tcPr>
          <w:p>
            <w:pPr>
              <w:pStyle w:val="Normal"/>
              <w:widowControl w:val="false"/>
              <w:spacing w:lineRule="auto" w:line="240" w:before="0" w:after="0"/>
              <w:jc w:val="both"/>
              <w:rPr>
                <w:b/>
                <w:b/>
                <w:bCs/>
                <w:sz w:val="24"/>
                <w:szCs w:val="24"/>
                <w:u w:val="single"/>
              </w:rPr>
            </w:pPr>
            <w:r>
              <w:rPr>
                <w:b/>
                <w:bCs/>
                <w:sz w:val="24"/>
                <w:szCs w:val="24"/>
                <w:u w:val="single"/>
              </w:rPr>
              <w:t>Public Questions and Statements</w:t>
            </w:r>
          </w:p>
          <w:p>
            <w:pPr>
              <w:pStyle w:val="Normal"/>
              <w:widowControl w:val="false"/>
              <w:spacing w:lineRule="auto" w:line="240" w:before="0" w:after="0"/>
              <w:jc w:val="both"/>
              <w:rPr>
                <w:b/>
                <w:b/>
                <w:bCs/>
                <w:sz w:val="24"/>
                <w:szCs w:val="24"/>
                <w:u w:val="single"/>
              </w:rPr>
            </w:pPr>
            <w:r>
              <w:rPr>
                <w:b w:val="false"/>
                <w:bCs w:val="false"/>
                <w:sz w:val="24"/>
                <w:szCs w:val="24"/>
                <w:u w:val="none"/>
              </w:rPr>
              <w:t>None received.</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928" w:hRule="atLeast"/>
        </w:trPr>
        <w:tc>
          <w:tcPr>
            <w:tcW w:w="552" w:type="dxa"/>
            <w:tcBorders/>
            <w:shd w:color="auto" w:fill="FFFFFF" w:val="clear"/>
          </w:tcPr>
          <w:p>
            <w:pPr>
              <w:pStyle w:val="Normal"/>
              <w:widowControl w:val="false"/>
              <w:spacing w:lineRule="auto" w:line="240" w:before="0" w:after="0"/>
              <w:jc w:val="both"/>
              <w:rPr/>
            </w:pPr>
            <w:r>
              <w:rPr>
                <w:b/>
                <w:sz w:val="24"/>
                <w:szCs w:val="24"/>
              </w:rPr>
              <w:t>3.</w:t>
            </w:r>
          </w:p>
        </w:tc>
        <w:tc>
          <w:tcPr>
            <w:tcW w:w="8745" w:type="dxa"/>
            <w:tcBorders/>
            <w:shd w:color="auto" w:fill="FFFFFF" w:val="clear"/>
          </w:tcPr>
          <w:p>
            <w:pPr>
              <w:pStyle w:val="Normal"/>
              <w:widowControl w:val="false"/>
              <w:spacing w:lineRule="auto" w:line="240" w:before="0" w:after="0"/>
              <w:jc w:val="both"/>
              <w:rPr/>
            </w:pPr>
            <w:r>
              <w:rPr>
                <w:b/>
                <w:sz w:val="24"/>
                <w:szCs w:val="24"/>
                <w:u w:val="single"/>
              </w:rPr>
              <w:t>Minutes of the Meeting Held on 6 October 2021</w:t>
            </w:r>
          </w:p>
          <w:p>
            <w:pPr>
              <w:pStyle w:val="Normal"/>
              <w:widowControl w:val="false"/>
              <w:spacing w:lineRule="auto" w:line="240" w:before="0" w:after="0"/>
              <w:jc w:val="both"/>
              <w:rPr/>
            </w:pPr>
            <w:r>
              <w:rPr>
                <w:sz w:val="24"/>
                <w:szCs w:val="24"/>
              </w:rPr>
              <w:t>The minutes of the meeting held on 6 October 2021 were approved as a true record by all Councillors present with no abstentions.</w:t>
            </w:r>
          </w:p>
          <w:p>
            <w:pPr>
              <w:pStyle w:val="Normal"/>
              <w:widowControl w:val="false"/>
              <w:spacing w:lineRule="auto" w:line="240" w:before="0" w:after="0"/>
              <w:jc w:val="both"/>
              <w:rPr>
                <w:sz w:val="24"/>
                <w:szCs w:val="24"/>
              </w:rPr>
            </w:pPr>
            <w:r>
              <w:rPr>
                <w:sz w:val="24"/>
                <w:szCs w:val="24"/>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bookmarkStart w:id="0" w:name="_GoBack"/>
            <w:bookmarkStart w:id="1" w:name="_GoBack"/>
            <w:bookmarkEnd w:id="1"/>
          </w:p>
        </w:tc>
      </w:tr>
      <w:tr>
        <w:trPr>
          <w:trHeight w:val="3880" w:hRule="atLeast"/>
        </w:trPr>
        <w:tc>
          <w:tcPr>
            <w:tcW w:w="552" w:type="dxa"/>
            <w:tcBorders/>
            <w:shd w:color="auto" w:fill="FFFFFF" w:val="clear"/>
          </w:tcPr>
          <w:p>
            <w:pPr>
              <w:pStyle w:val="Normal"/>
              <w:widowControl w:val="false"/>
              <w:spacing w:lineRule="auto" w:line="240" w:before="0" w:after="0"/>
              <w:jc w:val="both"/>
              <w:rPr/>
            </w:pPr>
            <w:r>
              <w:rPr>
                <w:b/>
                <w:sz w:val="24"/>
                <w:szCs w:val="24"/>
              </w:rPr>
              <w:t>4.</w:t>
            </w:r>
          </w:p>
          <w:p>
            <w:pPr>
              <w:pStyle w:val="Normal"/>
              <w:widowControl w:val="false"/>
              <w:spacing w:lineRule="auto" w:line="240" w:before="0" w:after="0"/>
              <w:jc w:val="both"/>
              <w:rPr/>
            </w:pPr>
            <w:r>
              <w:rPr>
                <w:sz w:val="24"/>
                <w:szCs w:val="24"/>
              </w:rPr>
              <w:t>4.1</w:t>
            </w:r>
          </w:p>
        </w:tc>
        <w:tc>
          <w:tcPr>
            <w:tcW w:w="8745" w:type="dxa"/>
            <w:tcBorders/>
            <w:shd w:color="auto" w:fill="FFFFFF" w:val="clear"/>
          </w:tcPr>
          <w:p>
            <w:pPr>
              <w:pStyle w:val="Normal"/>
              <w:widowControl w:val="false"/>
              <w:spacing w:lineRule="auto" w:line="240" w:before="0" w:after="0"/>
              <w:jc w:val="both"/>
              <w:rPr/>
            </w:pPr>
            <w:r>
              <w:rPr>
                <w:b/>
                <w:sz w:val="24"/>
                <w:szCs w:val="24"/>
                <w:u w:val="single"/>
              </w:rPr>
              <w:t>Matters Arising from the Minutes of the Meeting held on 12 May 2021</w:t>
            </w:r>
          </w:p>
          <w:p>
            <w:pPr>
              <w:pStyle w:val="Normal"/>
              <w:widowControl w:val="false"/>
              <w:numPr>
                <w:ilvl w:val="0"/>
                <w:numId w:val="6"/>
              </w:numPr>
              <w:spacing w:lineRule="auto" w:line="240" w:before="0" w:after="0"/>
              <w:jc w:val="both"/>
              <w:rPr>
                <w:b w:val="false"/>
                <w:b w:val="false"/>
                <w:bCs w:val="false"/>
                <w:sz w:val="24"/>
                <w:szCs w:val="24"/>
                <w:u w:val="none"/>
              </w:rPr>
            </w:pPr>
            <w:r>
              <w:rPr>
                <w:b w:val="false"/>
                <w:bCs w:val="false"/>
                <w:sz w:val="24"/>
                <w:szCs w:val="24"/>
                <w:u w:val="none"/>
              </w:rPr>
              <w:t>Defective Footpath Surface Church Street Wighill</w:t>
            </w:r>
          </w:p>
          <w:p>
            <w:pPr>
              <w:pStyle w:val="Normal"/>
              <w:widowControl w:val="false"/>
              <w:spacing w:lineRule="auto" w:line="240" w:before="0" w:after="0"/>
              <w:jc w:val="both"/>
              <w:rPr>
                <w:b w:val="false"/>
                <w:b w:val="false"/>
                <w:bCs w:val="false"/>
                <w:sz w:val="24"/>
                <w:szCs w:val="24"/>
                <w:u w:val="none"/>
              </w:rPr>
            </w:pPr>
            <w:r>
              <w:rPr>
                <w:b w:val="false"/>
                <w:bCs w:val="false"/>
                <w:sz w:val="24"/>
                <w:szCs w:val="24"/>
                <w:u w:val="none"/>
              </w:rPr>
              <w:t>Cllr Mr A Hamilton has several images of the defective section of  footpath. The Clerk has checked the original complaint via the Parish Portal and has noted that the Highways Inspector issued an order for repairs to be carried out.</w:t>
            </w:r>
          </w:p>
          <w:p>
            <w:pPr>
              <w:pStyle w:val="Normal"/>
              <w:widowControl w:val="false"/>
              <w:numPr>
                <w:ilvl w:val="0"/>
                <w:numId w:val="9"/>
              </w:numPr>
              <w:spacing w:lineRule="auto" w:line="240" w:before="0" w:after="0"/>
              <w:jc w:val="both"/>
              <w:rPr>
                <w:b w:val="false"/>
                <w:b w:val="false"/>
                <w:bCs w:val="false"/>
                <w:sz w:val="24"/>
                <w:szCs w:val="24"/>
                <w:u w:val="none"/>
              </w:rPr>
            </w:pPr>
            <w:r>
              <w:rPr>
                <w:b w:val="false"/>
                <w:bCs w:val="false"/>
                <w:sz w:val="24"/>
                <w:szCs w:val="24"/>
                <w:u w:val="none"/>
              </w:rPr>
              <w:t>There is growing concern about the 30mph speed limit on Rural Village highways. NYCC’s Cabinet member for highways is opposed to lowering the speed limit and does not approve changes to the existing NYCC policy, which would allow a reduction to 20mph.</w:t>
            </w:r>
          </w:p>
          <w:p>
            <w:pPr>
              <w:pStyle w:val="Normal"/>
              <w:widowControl w:val="false"/>
              <w:spacing w:lineRule="auto" w:line="240" w:before="0" w:after="0"/>
              <w:jc w:val="both"/>
              <w:rPr>
                <w:b w:val="false"/>
                <w:b w:val="false"/>
                <w:bCs w:val="false"/>
                <w:sz w:val="24"/>
                <w:szCs w:val="24"/>
                <w:u w:val="none"/>
              </w:rPr>
            </w:pPr>
            <w:r>
              <w:rPr>
                <w:b w:val="false"/>
                <w:bCs w:val="false"/>
                <w:sz w:val="24"/>
                <w:szCs w:val="24"/>
                <w:u w:val="none"/>
              </w:rPr>
              <w:t>After discussion, all Cllrs present without abstention agreed that the existing policy should be amended, with 20mph being set as the new limit through rural villages. The Clerk was asked to let the County Councillor know of the need for this speed limit reduction and seek his support for this change.</w:t>
            </w:r>
          </w:p>
          <w:p>
            <w:pPr>
              <w:pStyle w:val="Normal"/>
              <w:widowControl w:val="false"/>
              <w:spacing w:lineRule="auto" w:line="240" w:before="0" w:after="0"/>
              <w:jc w:val="both"/>
              <w:rPr>
                <w:b w:val="false"/>
                <w:b w:val="false"/>
                <w:bCs w:val="false"/>
                <w:sz w:val="24"/>
                <w:szCs w:val="24"/>
                <w:u w:val="none"/>
              </w:rPr>
            </w:pPr>
            <w:r>
              <w:rPr>
                <w:b w:val="false"/>
                <w:bCs w:val="false"/>
                <w:sz w:val="24"/>
                <w:szCs w:val="24"/>
                <w:u w:val="none"/>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r>
      <w:tr>
        <w:trPr/>
        <w:tc>
          <w:tcPr>
            <w:tcW w:w="552" w:type="dxa"/>
            <w:tcBorders/>
            <w:shd w:color="auto" w:fill="FFFFFF" w:val="clear"/>
          </w:tcPr>
          <w:p>
            <w:pPr>
              <w:pStyle w:val="Normal"/>
              <w:widowControl w:val="false"/>
              <w:spacing w:lineRule="auto" w:line="240" w:before="0" w:after="0"/>
              <w:jc w:val="both"/>
              <w:rPr/>
            </w:pPr>
            <w:r>
              <w:rPr>
                <w:b/>
                <w:sz w:val="24"/>
                <w:szCs w:val="24"/>
              </w:rPr>
              <w:t>5.</w:t>
            </w:r>
          </w:p>
        </w:tc>
        <w:tc>
          <w:tcPr>
            <w:tcW w:w="8745" w:type="dxa"/>
            <w:tcBorders/>
            <w:shd w:color="auto" w:fill="FFFFFF" w:val="clear"/>
          </w:tcPr>
          <w:p>
            <w:pPr>
              <w:pStyle w:val="Normal"/>
              <w:widowControl w:val="false"/>
              <w:spacing w:lineRule="auto" w:line="240" w:before="0" w:after="0"/>
              <w:jc w:val="both"/>
              <w:rPr/>
            </w:pPr>
            <w:r>
              <w:rPr>
                <w:b/>
                <w:sz w:val="24"/>
                <w:szCs w:val="24"/>
                <w:u w:val="single"/>
              </w:rPr>
              <w:t>Police Matters</w:t>
            </w:r>
          </w:p>
          <w:p>
            <w:pPr>
              <w:pStyle w:val="Normal"/>
              <w:widowControl w:val="false"/>
              <w:tabs>
                <w:tab w:val="clear" w:pos="720"/>
                <w:tab w:val="left" w:pos="6548" w:leader="none"/>
              </w:tabs>
              <w:spacing w:lineRule="auto" w:line="240" w:before="0" w:after="0"/>
              <w:jc w:val="both"/>
              <w:rPr/>
            </w:pPr>
            <w:r>
              <w:rPr>
                <w:sz w:val="24"/>
                <w:szCs w:val="24"/>
              </w:rPr>
              <w:t xml:space="preserve">Crime statistics are now available on line at </w:t>
            </w:r>
            <w:hyperlink r:id="rId2">
              <w:r>
                <w:rPr>
                  <w:rStyle w:val="InternetLink"/>
                  <w:sz w:val="24"/>
                  <w:szCs w:val="24"/>
                </w:rPr>
                <w:t>www.Police.uk</w:t>
              </w:r>
            </w:hyperlink>
            <w:r>
              <w:rPr>
                <w:sz w:val="24"/>
                <w:szCs w:val="24"/>
              </w:rPr>
              <w:t xml:space="preserve">  (check by Post Code).</w:t>
            </w:r>
          </w:p>
          <w:p>
            <w:pPr>
              <w:pStyle w:val="Normal"/>
              <w:widowControl w:val="false"/>
              <w:tabs>
                <w:tab w:val="clear" w:pos="720"/>
                <w:tab w:val="left" w:pos="6548" w:leader="none"/>
              </w:tabs>
              <w:spacing w:lineRule="auto" w:line="240" w:before="0" w:after="0"/>
              <w:jc w:val="both"/>
              <w:rPr>
                <w:sz w:val="24"/>
                <w:szCs w:val="24"/>
              </w:rPr>
            </w:pPr>
            <w:r>
              <w:rPr>
                <w:sz w:val="24"/>
                <w:szCs w:val="24"/>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426" w:hRule="atLeast"/>
        </w:trPr>
        <w:tc>
          <w:tcPr>
            <w:tcW w:w="552" w:type="dxa"/>
            <w:tcBorders/>
            <w:shd w:color="auto" w:fill="FFFFFF" w:val="clear"/>
          </w:tcPr>
          <w:p>
            <w:pPr>
              <w:pStyle w:val="Normal"/>
              <w:widowControl w:val="false"/>
              <w:spacing w:lineRule="auto" w:line="240" w:before="0" w:after="0"/>
              <w:jc w:val="both"/>
              <w:rPr>
                <w:b/>
                <w:b/>
                <w:bCs/>
              </w:rPr>
            </w:pPr>
            <w:r>
              <w:rPr>
                <w:b/>
                <w:bCs/>
              </w:rPr>
              <w:t>6.</w:t>
            </w:r>
          </w:p>
        </w:tc>
        <w:tc>
          <w:tcPr>
            <w:tcW w:w="8745" w:type="dxa"/>
            <w:tcBorders/>
            <w:shd w:color="auto" w:fill="FFFFFF" w:val="clear"/>
          </w:tcPr>
          <w:p>
            <w:pPr>
              <w:pStyle w:val="Normal"/>
              <w:widowControl w:val="false"/>
              <w:spacing w:lineRule="auto" w:line="240" w:before="0" w:after="0"/>
              <w:jc w:val="both"/>
              <w:rPr>
                <w:b/>
                <w:b/>
                <w:sz w:val="24"/>
                <w:szCs w:val="24"/>
                <w:u w:val="single"/>
              </w:rPr>
            </w:pPr>
            <w:r>
              <w:rPr>
                <w:b/>
                <w:bCs/>
                <w:sz w:val="24"/>
                <w:szCs w:val="24"/>
                <w:u w:val="single"/>
              </w:rPr>
              <w:t>Financial Matters</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426" w:hRule="atLeast"/>
        </w:trPr>
        <w:tc>
          <w:tcPr>
            <w:tcW w:w="552" w:type="dxa"/>
            <w:tcBorders/>
            <w:shd w:color="auto" w:fill="FFFFFF" w:val="clear"/>
          </w:tcPr>
          <w:p>
            <w:pPr>
              <w:pStyle w:val="Normal"/>
              <w:widowControl w:val="false"/>
              <w:spacing w:lineRule="auto" w:line="240" w:before="0" w:after="0"/>
              <w:jc w:val="both"/>
              <w:rPr/>
            </w:pPr>
            <w:r>
              <w:rPr/>
              <w:t>6.1</w:t>
            </w:r>
          </w:p>
        </w:tc>
        <w:tc>
          <w:tcPr>
            <w:tcW w:w="8745" w:type="dxa"/>
            <w:tcBorders/>
            <w:shd w:color="auto" w:fill="FFFFFF" w:val="clear"/>
          </w:tcPr>
          <w:p>
            <w:pPr>
              <w:pStyle w:val="Normal"/>
              <w:widowControl w:val="false"/>
              <w:spacing w:lineRule="auto" w:line="240" w:before="0" w:after="0"/>
              <w:jc w:val="both"/>
              <w:rPr>
                <w:b/>
                <w:b/>
                <w:sz w:val="24"/>
                <w:szCs w:val="24"/>
                <w:u w:val="single"/>
              </w:rPr>
            </w:pPr>
            <w:r>
              <w:rPr>
                <w:b w:val="false"/>
                <w:bCs w:val="false"/>
                <w:sz w:val="24"/>
                <w:szCs w:val="24"/>
                <w:u w:val="none"/>
              </w:rPr>
              <w:t>Funds Received</w:t>
            </w:r>
          </w:p>
          <w:p>
            <w:pPr>
              <w:pStyle w:val="Normal"/>
              <w:widowControl w:val="false"/>
              <w:numPr>
                <w:ilvl w:val="0"/>
                <w:numId w:val="5"/>
              </w:numPr>
              <w:spacing w:lineRule="auto" w:line="240" w:before="0" w:after="0"/>
              <w:jc w:val="both"/>
              <w:rPr>
                <w:b w:val="false"/>
                <w:b w:val="false"/>
                <w:bCs w:val="false"/>
                <w:sz w:val="24"/>
                <w:szCs w:val="24"/>
                <w:u w:val="none"/>
              </w:rPr>
            </w:pPr>
            <w:r>
              <w:rPr>
                <w:b w:val="false"/>
                <w:bCs w:val="false"/>
                <w:sz w:val="24"/>
                <w:szCs w:val="24"/>
                <w:u w:val="none"/>
              </w:rPr>
              <w:t>None</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426" w:hRule="atLeast"/>
        </w:trPr>
        <w:tc>
          <w:tcPr>
            <w:tcW w:w="552" w:type="dxa"/>
            <w:tcBorders/>
            <w:shd w:color="auto" w:fill="FFFFFF" w:val="clear"/>
          </w:tcPr>
          <w:p>
            <w:pPr>
              <w:pStyle w:val="Normal"/>
              <w:widowControl w:val="false"/>
              <w:spacing w:lineRule="auto" w:line="240" w:before="0" w:after="0"/>
              <w:jc w:val="both"/>
              <w:rPr/>
            </w:pPr>
            <w:r>
              <w:rPr>
                <w:sz w:val="24"/>
                <w:szCs w:val="24"/>
              </w:rPr>
              <w:t>6.2</w:t>
            </w:r>
          </w:p>
          <w:p>
            <w:pPr>
              <w:pStyle w:val="Normal"/>
              <w:widowControl w:val="false"/>
              <w:spacing w:lineRule="auto" w:line="240" w:before="0" w:after="0"/>
              <w:jc w:val="both"/>
              <w:rPr>
                <w:sz w:val="24"/>
                <w:szCs w:val="24"/>
              </w:rPr>
            </w:pPr>
            <w:r>
              <w:rPr>
                <w:sz w:val="24"/>
                <w:szCs w:val="24"/>
              </w:rPr>
            </w:r>
          </w:p>
        </w:tc>
        <w:tc>
          <w:tcPr>
            <w:tcW w:w="8745" w:type="dxa"/>
            <w:tcBorders/>
            <w:shd w:color="auto" w:fill="FFFFFF" w:val="clear"/>
          </w:tcPr>
          <w:p>
            <w:pPr>
              <w:pStyle w:val="Normal"/>
              <w:widowControl w:val="false"/>
              <w:spacing w:lineRule="auto" w:line="240" w:before="0" w:after="0"/>
              <w:jc w:val="both"/>
              <w:rPr>
                <w:u w:val="single"/>
              </w:rPr>
            </w:pPr>
            <w:r>
              <w:rPr>
                <w:sz w:val="24"/>
                <w:szCs w:val="24"/>
                <w:u w:val="none"/>
              </w:rPr>
              <w:t>Bank Balances at 30.09.21 were:</w:t>
            </w:r>
          </w:p>
          <w:p>
            <w:pPr>
              <w:pStyle w:val="Normal"/>
              <w:widowControl w:val="false"/>
              <w:numPr>
                <w:ilvl w:val="0"/>
                <w:numId w:val="3"/>
              </w:numPr>
              <w:suppressAutoHyphens w:val="true"/>
              <w:bidi w:val="0"/>
              <w:spacing w:lineRule="auto" w:line="240" w:before="0" w:after="0"/>
              <w:ind w:left="794" w:right="-340" w:hanging="340"/>
              <w:jc w:val="both"/>
              <w:rPr>
                <w:b/>
                <w:b/>
                <w:sz w:val="24"/>
                <w:szCs w:val="24"/>
                <w:u w:val="single"/>
              </w:rPr>
            </w:pPr>
            <w:r>
              <w:rPr>
                <w:b w:val="false"/>
                <w:bCs w:val="false"/>
                <w:sz w:val="24"/>
                <w:szCs w:val="24"/>
                <w:u w:val="none"/>
              </w:rPr>
              <w:t>Charity a/c £1726.29</w:t>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r>
      <w:tr>
        <w:trPr>
          <w:trHeight w:val="1363" w:hRule="atLeast"/>
        </w:trPr>
        <w:tc>
          <w:tcPr>
            <w:tcW w:w="552" w:type="dxa"/>
            <w:tcBorders/>
            <w:shd w:color="auto" w:fill="FFFFFF" w:val="clear"/>
          </w:tcPr>
          <w:p>
            <w:pPr>
              <w:pStyle w:val="Normal"/>
              <w:widowControl w:val="false"/>
              <w:spacing w:before="0" w:after="200"/>
              <w:rPr>
                <w:sz w:val="24"/>
                <w:szCs w:val="24"/>
              </w:rPr>
            </w:pPr>
            <w:r>
              <w:rPr>
                <w:sz w:val="24"/>
                <w:szCs w:val="24"/>
              </w:rPr>
              <w:t>6.3</w:t>
            </w:r>
          </w:p>
        </w:tc>
        <w:tc>
          <w:tcPr>
            <w:tcW w:w="8745" w:type="dxa"/>
            <w:tcBorders/>
            <w:shd w:color="auto" w:fill="FFFFFF" w:val="clear"/>
          </w:tcPr>
          <w:p>
            <w:pPr>
              <w:pStyle w:val="Normal"/>
              <w:widowControl w:val="false"/>
              <w:spacing w:before="0" w:after="200"/>
              <w:rPr>
                <w:sz w:val="24"/>
                <w:szCs w:val="24"/>
              </w:rPr>
            </w:pPr>
            <w:r>
              <w:rPr>
                <w:sz w:val="24"/>
                <w:szCs w:val="24"/>
              </w:rPr>
              <w:t>Parish Council Bank Accounts</w:t>
              <w:br/>
              <w:t>HSBC Bank continues to cause difficulties with the use of the PC’s account.</w:t>
              <w:br/>
            </w:r>
            <w:r>
              <w:rPr>
                <w:rFonts w:eastAsia="Calibri" w:cs="Tahoma"/>
                <w:color w:val="00000A"/>
                <w:kern w:val="0"/>
                <w:sz w:val="24"/>
                <w:szCs w:val="24"/>
                <w:lang w:val="en-GB" w:eastAsia="en-US" w:bidi="ar-SA"/>
              </w:rPr>
              <w:t>Cllrs Mrs L Richardson and Mr A Roberts have each been added as authorised signatories to the account. Security devices and ‘on line’ access details have been received for both Cllrs.  Cllr Mr A Roberts has successfully accessed the account with the details provided, but Cllr Mrs L Richardson cannot log on with the access details provided for her by HSBC.</w:t>
            </w:r>
          </w:p>
          <w:p>
            <w:pPr>
              <w:pStyle w:val="Normal"/>
              <w:widowControl w:val="false"/>
              <w:spacing w:before="0" w:after="200"/>
              <w:rPr>
                <w:sz w:val="24"/>
                <w:szCs w:val="24"/>
              </w:rPr>
            </w:pPr>
            <w:r>
              <w:rPr>
                <w:rFonts w:eastAsia="Calibri" w:cs="Tahoma"/>
                <w:color w:val="00000A"/>
                <w:kern w:val="0"/>
                <w:sz w:val="24"/>
                <w:szCs w:val="24"/>
                <w:lang w:val="en-GB" w:eastAsia="en-US" w:bidi="ar-SA"/>
              </w:rPr>
              <w:t>The Clerk/RFO has received a letter from HSBC claiming that he has not responded to previous safeguard review letters and that the account will now be closed. The Clerk will now attempt to start a business account with another high street bank, which will allow the account with HSBC to be closed.</w:t>
            </w:r>
          </w:p>
        </w:tc>
        <w:tc>
          <w:tcPr>
            <w:tcW w:w="28" w:type="dxa"/>
            <w:tcBorders/>
            <w:shd w:color="auto" w:fill="FFFFFF" w:val="clear"/>
          </w:tcPr>
          <w:p>
            <w:pPr>
              <w:pStyle w:val="Normal"/>
              <w:widowControl w:val="false"/>
              <w:spacing w:before="0" w:after="200"/>
              <w:rPr>
                <w:b/>
                <w:b/>
                <w:sz w:val="24"/>
                <w:szCs w:val="24"/>
              </w:rPr>
            </w:pPr>
            <w:r>
              <w:rPr>
                <w:b/>
                <w:sz w:val="24"/>
                <w:szCs w:val="24"/>
              </w:rPr>
            </w:r>
          </w:p>
        </w:tc>
      </w:tr>
      <w:tr>
        <w:trPr>
          <w:trHeight w:val="4073" w:hRule="atLeast"/>
        </w:trPr>
        <w:tc>
          <w:tcPr>
            <w:tcW w:w="552" w:type="dxa"/>
            <w:tcBorders/>
            <w:shd w:color="auto" w:fill="FFFFFF" w:val="clear"/>
          </w:tcPr>
          <w:p>
            <w:pPr>
              <w:pStyle w:val="Normal"/>
              <w:widowControl w:val="false"/>
              <w:spacing w:before="0" w:after="200"/>
              <w:rPr>
                <w:sz w:val="24"/>
                <w:szCs w:val="24"/>
              </w:rPr>
            </w:pPr>
            <w:r>
              <w:rPr>
                <w:sz w:val="24"/>
                <w:szCs w:val="24"/>
              </w:rPr>
              <w:t>6.4</w:t>
            </w:r>
          </w:p>
        </w:tc>
        <w:tc>
          <w:tcPr>
            <w:tcW w:w="8745" w:type="dxa"/>
            <w:tcBorders/>
            <w:shd w:color="auto" w:fill="FFFFFF" w:val="clear"/>
          </w:tcPr>
          <w:p>
            <w:pPr>
              <w:pStyle w:val="Normal"/>
              <w:widowControl w:val="false"/>
              <w:spacing w:before="0" w:after="200"/>
              <w:rPr>
                <w:sz w:val="24"/>
                <w:szCs w:val="24"/>
              </w:rPr>
            </w:pPr>
            <w:r>
              <w:rPr>
                <w:sz w:val="24"/>
                <w:szCs w:val="24"/>
              </w:rPr>
              <w:t>Annual Insurance Renewal</w:t>
              <w:br/>
              <w:t>The annual renewal of the Insurance Policy  is due at the beginning of January 2022. The policy is purchased via a broker who has been used for several years. This broker started as a specialist catering for Parish Councils and voluntary groups. The broker has been absorbed several times in the last few years and is now part of a major international group. At each annual renewal, the broker reviews the full insurance market and obtains quotations from three Companies, before recommending the policy renewal. In recent years, the broker has required a payment of £50.00 as an administrative charge for his review work.  Alternative quotations have been requested from other Insurance brokers but these policies are all more expensive than the current broker. All Cllrs present without abstention, agreed to approve the purchase of the recommended policy as quoted by the broker at a cost of £165.00 plus £50.00 administrative fee.</w:t>
            </w:r>
          </w:p>
        </w:tc>
        <w:tc>
          <w:tcPr>
            <w:tcW w:w="28" w:type="dxa"/>
            <w:tcBorders/>
            <w:shd w:color="auto" w:fill="FFFFFF" w:val="clear"/>
          </w:tcPr>
          <w:p>
            <w:pPr>
              <w:pStyle w:val="Normal"/>
              <w:widowControl w:val="false"/>
              <w:spacing w:before="0" w:after="200"/>
              <w:rPr>
                <w:b/>
                <w:b/>
                <w:sz w:val="24"/>
                <w:szCs w:val="24"/>
              </w:rPr>
            </w:pPr>
            <w:r>
              <w:rPr>
                <w:b/>
                <w:sz w:val="24"/>
                <w:szCs w:val="24"/>
              </w:rPr>
            </w:r>
          </w:p>
        </w:tc>
      </w:tr>
      <w:tr>
        <w:trPr>
          <w:trHeight w:val="1030" w:hRule="atLeast"/>
        </w:trPr>
        <w:tc>
          <w:tcPr>
            <w:tcW w:w="552" w:type="dxa"/>
            <w:tcBorders/>
            <w:shd w:color="auto" w:fill="FFFFFF" w:val="clear"/>
          </w:tcPr>
          <w:p>
            <w:pPr>
              <w:pStyle w:val="Normal"/>
              <w:widowControl w:val="false"/>
              <w:spacing w:lineRule="auto" w:line="240" w:before="0" w:after="0"/>
              <w:jc w:val="both"/>
              <w:rPr/>
            </w:pPr>
            <w:r>
              <w:rPr>
                <w:b/>
                <w:sz w:val="24"/>
                <w:szCs w:val="24"/>
              </w:rPr>
              <w:t>7.</w:t>
            </w:r>
          </w:p>
          <w:p>
            <w:pPr>
              <w:pStyle w:val="Normal"/>
              <w:widowControl w:val="false"/>
              <w:spacing w:lineRule="auto" w:line="240" w:before="0" w:after="0"/>
              <w:jc w:val="both"/>
              <w:rPr/>
            </w:pPr>
            <w:r>
              <w:rPr>
                <w:sz w:val="24"/>
                <w:szCs w:val="24"/>
              </w:rPr>
              <w:t>7.1</w:t>
            </w:r>
          </w:p>
          <w:p>
            <w:pPr>
              <w:pStyle w:val="Normal"/>
              <w:widowControl w:val="false"/>
              <w:spacing w:lineRule="auto" w:line="240" w:before="0" w:after="0"/>
              <w:jc w:val="both"/>
              <w:rPr>
                <w:sz w:val="24"/>
                <w:szCs w:val="24"/>
              </w:rPr>
            </w:pPr>
            <w:r>
              <w:rPr>
                <w:sz w:val="24"/>
                <w:szCs w:val="24"/>
              </w:rPr>
            </w:r>
          </w:p>
        </w:tc>
        <w:tc>
          <w:tcPr>
            <w:tcW w:w="8745" w:type="dxa"/>
            <w:tcBorders/>
            <w:shd w:color="auto" w:fill="FFFFFF" w:val="clear"/>
          </w:tcPr>
          <w:p>
            <w:pPr>
              <w:pStyle w:val="Normal"/>
              <w:widowControl w:val="false"/>
              <w:spacing w:lineRule="auto" w:line="240" w:before="0" w:after="0"/>
              <w:jc w:val="both"/>
              <w:rPr>
                <w:rFonts w:ascii="Calibri" w:hAnsi="Calibri"/>
                <w:b/>
                <w:b/>
                <w:bCs/>
                <w:sz w:val="24"/>
                <w:szCs w:val="24"/>
              </w:rPr>
            </w:pPr>
            <w:r>
              <w:rPr>
                <w:b/>
                <w:bCs/>
                <w:sz w:val="24"/>
                <w:szCs w:val="24"/>
                <w:u w:val="single"/>
              </w:rPr>
              <w:t>Planning and Related Matters</w:t>
            </w:r>
          </w:p>
          <w:p>
            <w:pPr>
              <w:pStyle w:val="Normal"/>
              <w:widowControl w:val="false"/>
              <w:spacing w:lineRule="auto" w:line="240" w:before="0" w:after="0"/>
              <w:jc w:val="both"/>
              <w:rPr>
                <w:rFonts w:ascii="Calibri" w:hAnsi="Calibri"/>
                <w:b/>
                <w:b/>
                <w:bCs/>
                <w:sz w:val="24"/>
                <w:szCs w:val="24"/>
              </w:rPr>
            </w:pPr>
            <w:r>
              <w:rPr>
                <w:b w:val="false"/>
                <w:bCs w:val="false"/>
                <w:sz w:val="24"/>
                <w:szCs w:val="24"/>
                <w:u w:val="none"/>
              </w:rPr>
              <w:t>Planning Applications Received and to be Determined:</w:t>
            </w:r>
          </w:p>
          <w:p>
            <w:pPr>
              <w:pStyle w:val="Normal"/>
              <w:widowControl w:val="false"/>
              <w:numPr>
                <w:ilvl w:val="0"/>
                <w:numId w:val="2"/>
              </w:numPr>
              <w:spacing w:lineRule="auto" w:line="240" w:before="0" w:after="0"/>
              <w:jc w:val="both"/>
              <w:rPr>
                <w:b w:val="false"/>
                <w:b w:val="false"/>
                <w:bCs w:val="false"/>
              </w:rPr>
            </w:pPr>
            <w:r>
              <w:rPr>
                <w:rFonts w:eastAsia="Calibri" w:cs="Tahoma"/>
                <w:b/>
                <w:bCs/>
                <w:color w:val="00000A"/>
                <w:kern w:val="0"/>
                <w:sz w:val="24"/>
                <w:szCs w:val="24"/>
                <w:u w:val="none"/>
                <w:lang w:val="en-GB" w:eastAsia="en-US" w:bidi="ar-SA"/>
              </w:rPr>
              <w:t>None</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r>
      <w:tr>
        <w:trPr>
          <w:trHeight w:val="698" w:hRule="atLeast"/>
        </w:trPr>
        <w:tc>
          <w:tcPr>
            <w:tcW w:w="552" w:type="dxa"/>
            <w:tcBorders/>
            <w:shd w:color="auto" w:fill="FFFFFF" w:val="clear"/>
          </w:tcPr>
          <w:p>
            <w:pPr>
              <w:pStyle w:val="Normal"/>
              <w:widowControl w:val="false"/>
              <w:spacing w:lineRule="auto" w:line="240" w:before="0" w:after="0"/>
              <w:jc w:val="both"/>
              <w:rPr>
                <w:sz w:val="24"/>
                <w:szCs w:val="24"/>
              </w:rPr>
            </w:pPr>
            <w:r>
              <w:rPr>
                <w:sz w:val="24"/>
                <w:szCs w:val="24"/>
              </w:rPr>
              <w:t>7.2</w:t>
            </w:r>
          </w:p>
        </w:tc>
        <w:tc>
          <w:tcPr>
            <w:tcW w:w="8745" w:type="dxa"/>
            <w:tcBorders/>
            <w:shd w:color="auto" w:fill="FFFFFF" w:val="clear"/>
          </w:tcPr>
          <w:p>
            <w:pPr>
              <w:pStyle w:val="Normal"/>
              <w:widowControl w:val="false"/>
              <w:spacing w:lineRule="auto" w:line="240" w:before="0" w:after="0"/>
              <w:jc w:val="both"/>
              <w:rPr/>
            </w:pPr>
            <w:r>
              <w:rPr>
                <w:b w:val="false"/>
                <w:bCs w:val="false"/>
                <w:sz w:val="24"/>
                <w:szCs w:val="24"/>
                <w:u w:val="none"/>
              </w:rPr>
              <w:t>Planning Decisions Notifications received 2021:</w:t>
            </w:r>
          </w:p>
          <w:p>
            <w:pPr>
              <w:pStyle w:val="Normal"/>
              <w:widowControl w:val="false"/>
              <w:numPr>
                <w:ilvl w:val="0"/>
                <w:numId w:val="1"/>
              </w:numPr>
              <w:tabs>
                <w:tab w:val="clear" w:pos="720"/>
                <w:tab w:val="left" w:pos="1525" w:leader="none"/>
              </w:tabs>
              <w:spacing w:lineRule="auto" w:line="240" w:before="0" w:after="0"/>
              <w:jc w:val="both"/>
              <w:rPr>
                <w:b w:val="false"/>
                <w:b w:val="false"/>
                <w:bCs w:val="false"/>
              </w:rPr>
            </w:pPr>
            <w:r>
              <w:rPr>
                <w:b w:val="false"/>
                <w:bCs w:val="false"/>
                <w:sz w:val="24"/>
                <w:szCs w:val="24"/>
                <w:u w:val="none"/>
              </w:rPr>
              <w:t>None</w:t>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698" w:hRule="atLeast"/>
        </w:trPr>
        <w:tc>
          <w:tcPr>
            <w:tcW w:w="552" w:type="dxa"/>
            <w:tcBorders/>
            <w:shd w:color="auto" w:fill="FFFFFF" w:val="clear"/>
          </w:tcPr>
          <w:p>
            <w:pPr>
              <w:pStyle w:val="Normal"/>
              <w:widowControl w:val="false"/>
              <w:spacing w:lineRule="auto" w:line="240" w:before="0" w:after="0"/>
              <w:jc w:val="both"/>
              <w:rPr>
                <w:sz w:val="24"/>
                <w:szCs w:val="24"/>
              </w:rPr>
            </w:pPr>
            <w:r>
              <w:rPr>
                <w:sz w:val="24"/>
                <w:szCs w:val="24"/>
              </w:rPr>
              <w:t>7.3</w:t>
            </w:r>
          </w:p>
        </w:tc>
        <w:tc>
          <w:tcPr>
            <w:tcW w:w="8745" w:type="dxa"/>
            <w:tcBorders/>
            <w:shd w:color="auto" w:fill="FFFFFF" w:val="clear"/>
          </w:tcPr>
          <w:p>
            <w:pPr>
              <w:pStyle w:val="Normal"/>
              <w:widowControl w:val="false"/>
              <w:spacing w:lineRule="auto" w:line="240" w:before="0" w:after="0"/>
              <w:jc w:val="both"/>
              <w:rPr>
                <w:sz w:val="24"/>
                <w:szCs w:val="24"/>
              </w:rPr>
            </w:pPr>
            <w:r>
              <w:rPr>
                <w:sz w:val="24"/>
                <w:szCs w:val="24"/>
              </w:rPr>
              <w:t>Planning Enforcement:</w:t>
            </w:r>
          </w:p>
          <w:p>
            <w:pPr>
              <w:pStyle w:val="Normal"/>
              <w:widowControl w:val="false"/>
              <w:numPr>
                <w:ilvl w:val="0"/>
                <w:numId w:val="4"/>
              </w:numPr>
              <w:spacing w:lineRule="auto" w:line="240" w:before="0" w:after="0"/>
              <w:jc w:val="both"/>
              <w:rPr>
                <w:sz w:val="24"/>
                <w:szCs w:val="24"/>
              </w:rPr>
            </w:pPr>
            <w:r>
              <w:rPr>
                <w:sz w:val="24"/>
                <w:szCs w:val="24"/>
              </w:rPr>
              <w:t>None</w:t>
            </w:r>
          </w:p>
          <w:p>
            <w:pPr>
              <w:pStyle w:val="Normal"/>
              <w:widowControl w:val="false"/>
              <w:numPr>
                <w:ilvl w:val="0"/>
                <w:numId w:val="0"/>
              </w:numPr>
              <w:spacing w:lineRule="auto" w:line="240" w:before="0" w:after="0"/>
              <w:ind w:left="720" w:hanging="0"/>
              <w:jc w:val="both"/>
              <w:rPr>
                <w:sz w:val="24"/>
                <w:szCs w:val="24"/>
              </w:rPr>
            </w:pPr>
            <w:r>
              <w:rPr>
                <w:sz w:val="24"/>
                <w:szCs w:val="24"/>
              </w:rPr>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452" w:hRule="atLeast"/>
        </w:trPr>
        <w:tc>
          <w:tcPr>
            <w:tcW w:w="552" w:type="dxa"/>
            <w:tcBorders/>
            <w:shd w:color="auto" w:fill="FFFFFF" w:val="clear"/>
          </w:tcPr>
          <w:p>
            <w:pPr>
              <w:pStyle w:val="Normal"/>
              <w:widowControl w:val="false"/>
              <w:spacing w:lineRule="auto" w:line="240" w:before="0" w:after="0"/>
              <w:jc w:val="both"/>
              <w:rPr>
                <w:b/>
                <w:b/>
                <w:bCs/>
                <w:color w:val="000000"/>
                <w:sz w:val="24"/>
                <w:szCs w:val="24"/>
              </w:rPr>
            </w:pPr>
            <w:r>
              <w:rPr>
                <w:b/>
                <w:bCs/>
                <w:color w:val="000000"/>
                <w:sz w:val="24"/>
                <w:szCs w:val="24"/>
              </w:rPr>
              <w:t>8.</w:t>
            </w:r>
          </w:p>
        </w:tc>
        <w:tc>
          <w:tcPr>
            <w:tcW w:w="8745" w:type="dxa"/>
            <w:tcBorders/>
            <w:shd w:color="auto" w:fill="FFFFFF" w:val="clear"/>
          </w:tcPr>
          <w:p>
            <w:pPr>
              <w:pStyle w:val="Normal"/>
              <w:widowControl w:val="false"/>
              <w:spacing w:lineRule="auto" w:line="240" w:before="0" w:after="0"/>
              <w:jc w:val="left"/>
              <w:rPr>
                <w:b/>
                <w:b/>
                <w:bCs/>
                <w:sz w:val="24"/>
                <w:szCs w:val="24"/>
                <w:u w:val="single"/>
              </w:rPr>
            </w:pPr>
            <w:r>
              <w:rPr>
                <w:b/>
                <w:bCs/>
                <w:sz w:val="24"/>
                <w:szCs w:val="24"/>
                <w:u w:val="single"/>
              </w:rPr>
              <w:t>PC Administration</w:t>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452" w:hRule="atLeast"/>
        </w:trPr>
        <w:tc>
          <w:tcPr>
            <w:tcW w:w="552" w:type="dxa"/>
            <w:tcBorders/>
            <w:shd w:color="auto" w:fill="FFFFFF" w:val="clear"/>
          </w:tcPr>
          <w:p>
            <w:pPr>
              <w:pStyle w:val="Normal"/>
              <w:widowControl w:val="false"/>
              <w:spacing w:lineRule="auto" w:line="240" w:before="0" w:after="0"/>
              <w:jc w:val="both"/>
              <w:rPr>
                <w:rFonts w:ascii="Calibri" w:hAnsi="Calibri" w:eastAsia="Calibri" w:cs="Tahoma"/>
                <w:color w:val="00000A"/>
                <w:kern w:val="0"/>
                <w:sz w:val="24"/>
                <w:szCs w:val="24"/>
                <w:lang w:val="en-GB" w:eastAsia="en-US" w:bidi="ar-SA"/>
              </w:rPr>
            </w:pPr>
            <w:r>
              <w:rPr>
                <w:rFonts w:eastAsia="Calibri" w:cs="Tahoma"/>
                <w:color w:val="00000A"/>
                <w:kern w:val="0"/>
                <w:sz w:val="24"/>
                <w:szCs w:val="24"/>
                <w:lang w:val="en-GB" w:eastAsia="en-US" w:bidi="ar-SA"/>
              </w:rPr>
              <w:t>8.1</w:t>
            </w:r>
          </w:p>
        </w:tc>
        <w:tc>
          <w:tcPr>
            <w:tcW w:w="8745" w:type="dxa"/>
            <w:tcBorders/>
            <w:shd w:color="auto" w:fill="FFFFFF" w:val="clear"/>
          </w:tcPr>
          <w:p>
            <w:pPr>
              <w:pStyle w:val="Normal"/>
              <w:widowControl w:val="false"/>
              <w:numPr>
                <w:ilvl w:val="0"/>
                <w:numId w:val="7"/>
              </w:numPr>
              <w:spacing w:lineRule="auto" w:line="240" w:before="0" w:after="0"/>
              <w:jc w:val="left"/>
              <w:rPr>
                <w:sz w:val="24"/>
                <w:szCs w:val="24"/>
              </w:rPr>
            </w:pPr>
            <w:r>
              <w:rPr>
                <w:b w:val="false"/>
                <w:bCs w:val="false"/>
                <w:sz w:val="24"/>
                <w:szCs w:val="24"/>
              </w:rPr>
              <w:t>Dog Fouling on footpaths in Wighill was reported to HBC.  HBC’s Environmental Protection Officers confirmed that they are unable to act on second hand reports via the clerk. Any resident noting an offence should photograph the incident, note the time and location and report it themselves to HBC.</w:t>
            </w:r>
          </w:p>
          <w:p>
            <w:pPr>
              <w:pStyle w:val="Normal"/>
              <w:widowControl w:val="false"/>
              <w:spacing w:lineRule="auto" w:line="240" w:before="0" w:after="0"/>
              <w:jc w:val="left"/>
              <w:rPr>
                <w:sz w:val="24"/>
                <w:szCs w:val="24"/>
              </w:rPr>
            </w:pPr>
            <w:r>
              <w:rPr>
                <w:sz w:val="24"/>
                <w:szCs w:val="24"/>
              </w:rPr>
            </w:r>
          </w:p>
          <w:p>
            <w:pPr>
              <w:pStyle w:val="Normal"/>
              <w:widowControl w:val="false"/>
              <w:spacing w:lineRule="auto" w:line="240" w:before="0" w:after="0"/>
              <w:jc w:val="left"/>
              <w:rPr>
                <w:sz w:val="24"/>
                <w:szCs w:val="24"/>
              </w:rPr>
            </w:pPr>
            <w:r>
              <w:rPr>
                <w:sz w:val="24"/>
                <w:szCs w:val="24"/>
              </w:rPr>
            </w:r>
          </w:p>
          <w:p>
            <w:pPr>
              <w:pStyle w:val="Normal"/>
              <w:widowControl w:val="false"/>
              <w:spacing w:lineRule="auto" w:line="240" w:before="0" w:after="0"/>
              <w:jc w:val="left"/>
              <w:rPr>
                <w:sz w:val="24"/>
                <w:szCs w:val="24"/>
              </w:rPr>
            </w:pPr>
            <w:r>
              <w:rPr>
                <w:sz w:val="24"/>
                <w:szCs w:val="24"/>
              </w:rPr>
            </w:r>
          </w:p>
          <w:p>
            <w:pPr>
              <w:pStyle w:val="Normal"/>
              <w:widowControl w:val="false"/>
              <w:numPr>
                <w:ilvl w:val="0"/>
                <w:numId w:val="7"/>
              </w:numPr>
              <w:spacing w:lineRule="auto" w:line="240" w:before="0" w:after="0"/>
              <w:jc w:val="left"/>
              <w:rPr>
                <w:sz w:val="24"/>
                <w:szCs w:val="24"/>
              </w:rPr>
            </w:pPr>
            <w:r>
              <w:rPr>
                <w:b w:val="false"/>
                <w:bCs w:val="false"/>
                <w:sz w:val="24"/>
                <w:szCs w:val="24"/>
              </w:rPr>
              <w:t xml:space="preserve">After discussion, all Cllrs present agreed to ask the local resident who had volunteered, to manufacture a further Village ‘seat’, to proceed. The location for siting was  deferred to allow further consultation. Manufacture will therefore  be deferred until nearer to the Jubilee celebration date in 2022. Further consideration will be necessary to agree any tree planting for the Jubilee celebration in 2022.  </w:t>
            </w:r>
          </w:p>
          <w:p>
            <w:pPr>
              <w:pStyle w:val="Normal"/>
              <w:widowControl w:val="false"/>
              <w:numPr>
                <w:ilvl w:val="0"/>
                <w:numId w:val="7"/>
              </w:numPr>
              <w:spacing w:lineRule="auto" w:line="240" w:before="0" w:after="0"/>
              <w:jc w:val="left"/>
              <w:rPr>
                <w:sz w:val="24"/>
                <w:szCs w:val="24"/>
              </w:rPr>
            </w:pPr>
            <w:r>
              <w:rPr>
                <w:b w:val="false"/>
                <w:bCs w:val="false"/>
                <w:sz w:val="24"/>
                <w:szCs w:val="24"/>
              </w:rPr>
              <w:t>Daffodil  and crocus bulbs will again be requested from HBC’s Parks Department for delivery in Autumn 2022.</w:t>
            </w:r>
          </w:p>
          <w:p>
            <w:pPr>
              <w:pStyle w:val="Normal"/>
              <w:widowControl w:val="false"/>
              <w:numPr>
                <w:ilvl w:val="0"/>
                <w:numId w:val="7"/>
              </w:numPr>
              <w:spacing w:lineRule="auto" w:line="240" w:before="0" w:after="0"/>
              <w:jc w:val="left"/>
              <w:rPr>
                <w:sz w:val="24"/>
                <w:szCs w:val="24"/>
              </w:rPr>
            </w:pPr>
            <w:r>
              <w:rPr>
                <w:b w:val="false"/>
                <w:bCs w:val="false"/>
                <w:sz w:val="24"/>
                <w:szCs w:val="24"/>
              </w:rPr>
              <w:t xml:space="preserve"> </w:t>
            </w:r>
            <w:r>
              <w:rPr>
                <w:b w:val="false"/>
                <w:bCs w:val="false"/>
                <w:sz w:val="24"/>
                <w:szCs w:val="24"/>
              </w:rPr>
              <w:t>A draft budget had been circulated for discussion. All Cllrs present without abstention agreed that the precept should remain unchanged in the next financial year with expenditure being adjusted as necessary</w:t>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742" w:hRule="atLeast"/>
        </w:trPr>
        <w:tc>
          <w:tcPr>
            <w:tcW w:w="552" w:type="dxa"/>
            <w:tcBorders/>
            <w:shd w:color="auto" w:fill="FFFFFF" w:val="clear"/>
          </w:tcPr>
          <w:p>
            <w:pPr>
              <w:pStyle w:val="Normal"/>
              <w:widowControl w:val="false"/>
              <w:spacing w:lineRule="auto" w:line="240" w:before="0" w:after="0"/>
              <w:jc w:val="both"/>
              <w:rPr>
                <w:b/>
                <w:b/>
                <w:sz w:val="24"/>
                <w:szCs w:val="24"/>
              </w:rPr>
            </w:pPr>
            <w:r>
              <w:rPr>
                <w:b/>
                <w:sz w:val="24"/>
                <w:szCs w:val="24"/>
              </w:rPr>
              <w:t>9.</w:t>
            </w:r>
          </w:p>
        </w:tc>
        <w:tc>
          <w:tcPr>
            <w:tcW w:w="8745" w:type="dxa"/>
            <w:tcBorders/>
            <w:shd w:color="auto" w:fill="FFFFFF" w:val="clear"/>
          </w:tcPr>
          <w:p>
            <w:pPr>
              <w:pStyle w:val="Normal"/>
              <w:widowControl w:val="false"/>
              <w:spacing w:lineRule="auto" w:line="240" w:before="0" w:after="0"/>
              <w:jc w:val="both"/>
              <w:rPr>
                <w:b/>
                <w:b/>
                <w:bCs/>
                <w:u w:val="single"/>
              </w:rPr>
            </w:pPr>
            <w:r>
              <w:rPr>
                <w:b/>
                <w:bCs/>
                <w:u w:val="single"/>
              </w:rPr>
              <w:t>Councillors Business Items for the next Meeting</w:t>
            </w:r>
          </w:p>
          <w:p>
            <w:pPr>
              <w:pStyle w:val="Normal"/>
              <w:widowControl w:val="false"/>
              <w:numPr>
                <w:ilvl w:val="0"/>
                <w:numId w:val="8"/>
              </w:numPr>
              <w:spacing w:lineRule="auto" w:line="240" w:before="0" w:after="0"/>
              <w:jc w:val="both"/>
              <w:rPr>
                <w:b w:val="false"/>
                <w:b w:val="false"/>
                <w:bCs w:val="false"/>
                <w:u w:val="none"/>
              </w:rPr>
            </w:pPr>
            <w:r>
              <w:rPr>
                <w:b w:val="false"/>
                <w:bCs w:val="false"/>
                <w:u w:val="none"/>
              </w:rPr>
              <w:t>PC’s business bank account</w:t>
            </w:r>
          </w:p>
          <w:p>
            <w:pPr>
              <w:pStyle w:val="Normal"/>
              <w:widowControl w:val="false"/>
              <w:numPr>
                <w:ilvl w:val="0"/>
                <w:numId w:val="8"/>
              </w:numPr>
              <w:spacing w:lineRule="auto" w:line="240" w:before="0" w:after="0"/>
              <w:jc w:val="both"/>
              <w:rPr>
                <w:b w:val="false"/>
                <w:b w:val="false"/>
                <w:bCs w:val="false"/>
                <w:u w:val="none"/>
              </w:rPr>
            </w:pPr>
            <w:r>
              <w:rPr>
                <w:b w:val="false"/>
                <w:bCs w:val="false"/>
                <w:u w:val="none"/>
              </w:rPr>
              <w:t>Royal Platinum Jubilee  Celebrations</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742" w:hRule="atLeast"/>
        </w:trPr>
        <w:tc>
          <w:tcPr>
            <w:tcW w:w="552"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c>
          <w:tcPr>
            <w:tcW w:w="8745" w:type="dxa"/>
            <w:tcBorders/>
            <w:shd w:color="auto" w:fill="FFFFFF" w:val="clear"/>
          </w:tcPr>
          <w:p>
            <w:pPr>
              <w:pStyle w:val="Normal"/>
              <w:widowControl w:val="false"/>
              <w:spacing w:lineRule="auto" w:line="240" w:before="0" w:after="0"/>
              <w:jc w:val="both"/>
              <w:rPr/>
            </w:pPr>
            <w:r>
              <w:rPr>
                <w:b/>
                <w:sz w:val="24"/>
                <w:szCs w:val="24"/>
                <w:u w:val="single"/>
              </w:rPr>
              <w:t>Next Meeting</w:t>
            </w:r>
          </w:p>
          <w:p>
            <w:pPr>
              <w:pStyle w:val="Normal"/>
              <w:widowControl w:val="false"/>
              <w:spacing w:lineRule="auto" w:line="240" w:before="0" w:after="0"/>
              <w:jc w:val="both"/>
              <w:rPr/>
            </w:pPr>
            <w:r>
              <w:rPr>
                <w:sz w:val="24"/>
                <w:szCs w:val="24"/>
              </w:rPr>
              <w:t>TBA if any planning applications are received.</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bl>
    <w:p>
      <w:pPr>
        <w:pStyle w:val="Normal"/>
        <w:spacing w:before="0" w:after="200"/>
        <w:jc w:val="both"/>
        <w:rPr/>
      </w:pPr>
      <w:r>
        <w:rPr/>
      </w:r>
    </w:p>
    <w:p>
      <w:pPr>
        <w:pStyle w:val="Normal"/>
        <w:spacing w:before="0" w:after="200"/>
        <w:jc w:val="both"/>
        <w:rPr/>
      </w:pPr>
      <w:r>
        <w:rPr/>
      </w:r>
    </w:p>
    <w:sectPr>
      <w:headerReference w:type="default" r:id="rId3"/>
      <w:footerReference w:type="default" r:id="rId4"/>
      <w:type w:val="nextPage"/>
      <w:pgSz w:w="11906" w:h="16838"/>
      <w:pgMar w:left="1440" w:right="1440" w:gutter="0" w:header="851" w:top="1403" w:footer="708"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Cambria">
    <w:charset w:val="01"/>
    <w:family w:val="swiss"/>
    <w:pitch w:val="default"/>
  </w:font>
  <w:font w:name="OpenSymbol">
    <w:altName w:val="Arial Unicode MS"/>
    <w:charset w:val="01"/>
    <w:family w:val="swiss"/>
    <w:pitch w:val="default"/>
  </w:font>
  <w:font w:name="Liberation Sans">
    <w:altName w:val="Arial"/>
    <w:charset w:val="01"/>
    <w:family w:val="swiss"/>
    <w:pitch w:val="default"/>
  </w:font>
  <w:font w:name="OpenSymbol">
    <w:altName w:val="Arial Unicode MS"/>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L T I Grant Tel: 01423359961  Email: </w:t>
    </w:r>
    <w:hyperlink r:id="rId1">
      <w:r>
        <w:rPr>
          <w:rStyle w:val="InternetLink"/>
        </w:rPr>
        <w:t>wighillpc@hotmail.co.uk</w:t>
      </w:r>
    </w:hyperlink>
    <w:r>
      <w:rPr/>
      <w:t xml:space="preserve"> </w:t>
    </w:r>
  </w:p>
  <w:p>
    <w:pPr>
      <w:pStyle w:val="Footer"/>
      <w:rPr/>
    </w:pPr>
    <w:r>
      <w:rPr/>
      <w:t>PARISH WEBSITE: www.wighill-pc.org.uk</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74"/>
        </w:tabs>
        <w:ind w:left="774" w:hanging="360"/>
      </w:pPr>
      <w:rPr>
        <w:rFonts w:ascii="Symbol" w:hAnsi="Symbol" w:cs="Symbol" w:hint="default"/>
      </w:rPr>
    </w:lvl>
    <w:lvl w:ilvl="1">
      <w:start w:val="1"/>
      <w:numFmt w:val="bullet"/>
      <w:lvlText w:val="◦"/>
      <w:lvlJc w:val="left"/>
      <w:pPr>
        <w:tabs>
          <w:tab w:val="num" w:pos="1134"/>
        </w:tabs>
        <w:ind w:left="1134" w:hanging="360"/>
      </w:pPr>
      <w:rPr>
        <w:rFonts w:ascii="OpenSymbol" w:hAnsi="OpenSymbol" w:cs="OpenSymbol" w:hint="default"/>
      </w:rPr>
    </w:lvl>
    <w:lvl w:ilvl="2">
      <w:start w:val="1"/>
      <w:numFmt w:val="bullet"/>
      <w:lvlText w:val="▪"/>
      <w:lvlJc w:val="left"/>
      <w:pPr>
        <w:tabs>
          <w:tab w:val="num" w:pos="1494"/>
        </w:tabs>
        <w:ind w:left="1494" w:hanging="360"/>
      </w:pPr>
      <w:rPr>
        <w:rFonts w:ascii="OpenSymbol" w:hAnsi="OpenSymbol" w:cs="OpenSymbol" w:hint="default"/>
      </w:rPr>
    </w:lvl>
    <w:lvl w:ilvl="3">
      <w:start w:val="1"/>
      <w:numFmt w:val="bullet"/>
      <w:lvlText w:val=""/>
      <w:lvlJc w:val="left"/>
      <w:pPr>
        <w:tabs>
          <w:tab w:val="num" w:pos="1854"/>
        </w:tabs>
        <w:ind w:left="1854" w:hanging="360"/>
      </w:pPr>
      <w:rPr>
        <w:rFonts w:ascii="Symbol" w:hAnsi="Symbol" w:cs="Symbol" w:hint="default"/>
      </w:rPr>
    </w:lvl>
    <w:lvl w:ilvl="4">
      <w:start w:val="1"/>
      <w:numFmt w:val="bullet"/>
      <w:lvlText w:val="◦"/>
      <w:lvlJc w:val="left"/>
      <w:pPr>
        <w:tabs>
          <w:tab w:val="num" w:pos="2214"/>
        </w:tabs>
        <w:ind w:left="2214" w:hanging="360"/>
      </w:pPr>
      <w:rPr>
        <w:rFonts w:ascii="OpenSymbol" w:hAnsi="OpenSymbol" w:cs="OpenSymbol" w:hint="default"/>
      </w:rPr>
    </w:lvl>
    <w:lvl w:ilvl="5">
      <w:start w:val="1"/>
      <w:numFmt w:val="bullet"/>
      <w:lvlText w:val="▪"/>
      <w:lvlJc w:val="left"/>
      <w:pPr>
        <w:tabs>
          <w:tab w:val="num" w:pos="2574"/>
        </w:tabs>
        <w:ind w:left="2574" w:hanging="360"/>
      </w:pPr>
      <w:rPr>
        <w:rFonts w:ascii="OpenSymbol" w:hAnsi="OpenSymbol" w:cs="OpenSymbol" w:hint="default"/>
      </w:rPr>
    </w:lvl>
    <w:lvl w:ilvl="6">
      <w:start w:val="1"/>
      <w:numFmt w:val="bullet"/>
      <w:lvlText w:val=""/>
      <w:lvlJc w:val="left"/>
      <w:pPr>
        <w:tabs>
          <w:tab w:val="num" w:pos="2934"/>
        </w:tabs>
        <w:ind w:left="2934" w:hanging="360"/>
      </w:pPr>
      <w:rPr>
        <w:rFonts w:ascii="Symbol" w:hAnsi="Symbol" w:cs="Symbol" w:hint="default"/>
      </w:rPr>
    </w:lvl>
    <w:lvl w:ilvl="7">
      <w:start w:val="1"/>
      <w:numFmt w:val="bullet"/>
      <w:lvlText w:val="◦"/>
      <w:lvlJc w:val="left"/>
      <w:pPr>
        <w:tabs>
          <w:tab w:val="num" w:pos="3294"/>
        </w:tabs>
        <w:ind w:left="3294" w:hanging="360"/>
      </w:pPr>
      <w:rPr>
        <w:rFonts w:ascii="OpenSymbol" w:hAnsi="OpenSymbol" w:cs="OpenSymbol" w:hint="default"/>
      </w:rPr>
    </w:lvl>
    <w:lvl w:ilvl="8">
      <w:start w:val="1"/>
      <w:numFmt w:val="bullet"/>
      <w:lvlText w:val="▪"/>
      <w:lvlJc w:val="left"/>
      <w:pPr>
        <w:tabs>
          <w:tab w:val="num" w:pos="3654"/>
        </w:tabs>
        <w:ind w:left="3654"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67"/>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Hyper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Bullets" w:customStyle="1">
    <w:name w:val="Bullets"/>
    <w:qFormat/>
    <w:rPr>
      <w:rFonts w:ascii="OpenSymbol" w:hAnsi="OpenSymbol" w:eastAsia="OpenSymbol" w:cs="OpenSymbol"/>
    </w:rPr>
  </w:style>
  <w:style w:type="character" w:styleId="NumberingSymbols">
    <w:name w:val="Numbering Symbols"/>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andFooter">
    <w:name w:val="Header and Footer"/>
    <w:basedOn w:val="Normal"/>
    <w:qFormat/>
    <w:pPr/>
    <w:rPr/>
  </w:style>
  <w:style w:type="paragraph" w:styleId="Header">
    <w:name w:val="Header"/>
    <w:basedOn w:val="Normal"/>
    <w:pPr>
      <w:tabs>
        <w:tab w:val="clear" w:pos="720"/>
        <w:tab w:val="center" w:pos="4513" w:leader="none"/>
        <w:tab w:val="right" w:pos="9026" w:leader="none"/>
      </w:tabs>
      <w:spacing w:lineRule="auto" w:line="240" w:before="0" w:after="0"/>
    </w:pPr>
    <w:rPr/>
  </w:style>
  <w:style w:type="paragraph" w:styleId="Footer">
    <w:name w:val="Footer"/>
    <w:basedOn w:val="Normal"/>
    <w:pPr>
      <w:tabs>
        <w:tab w:val="clear" w:pos="720"/>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751</TotalTime>
  <Application>LibreOffice/7.2.2.2$Windows_X86_64 LibreOffice_project/02b2acce88a210515b4a5bb2e46cbfb63fe97d56</Application>
  <AppVersion>15.0000</AppVersion>
  <Pages>3</Pages>
  <Words>796</Words>
  <Characters>4058</Characters>
  <CharactersWithSpaces>4946</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2021-12-01T18:00:44Z</cp:lastPrinted>
  <dcterms:modified xsi:type="dcterms:W3CDTF">2021-12-02T09:41:39Z</dcterms:modified>
  <cp:revision>141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