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hanging="0" w:right="-58"/>
        <w:jc w:val="center"/>
        <w:rPr>
          <w:sz w:val="28"/>
          <w:szCs w:val="28"/>
          <w:u w:val="none"/>
        </w:rPr>
      </w:pPr>
      <w:r>
        <w:rPr>
          <w:rFonts w:cs="Calibri" w:ascii="Calibri" w:hAnsi="Calibri"/>
          <w:b/>
          <w:sz w:val="28"/>
          <w:szCs w:val="28"/>
          <w:u w:val="single"/>
        </w:rPr>
        <w:t>Wighill Parish Council</w:t>
      </w:r>
    </w:p>
    <w:p>
      <w:pPr>
        <w:pStyle w:val="Normal"/>
        <w:ind w:hanging="0" w:right="-58"/>
        <w:jc w:val="center"/>
        <w:rPr>
          <w:sz w:val="28"/>
          <w:szCs w:val="28"/>
        </w:rPr>
      </w:pPr>
      <w:r>
        <w:rPr>
          <w:rFonts w:cs="Calibri" w:ascii="Calibri" w:hAnsi="Calibri"/>
          <w:b/>
          <w:sz w:val="28"/>
          <w:szCs w:val="28"/>
          <w:u w:val="single"/>
        </w:rPr>
        <w:t>To be held in The White Swan on Wednesday 17 April 2024</w:t>
      </w:r>
    </w:p>
    <w:p>
      <w:pPr>
        <w:pStyle w:val="Normal"/>
        <w:ind w:hanging="0" w:right="-58"/>
        <w:jc w:val="center"/>
        <w:rPr>
          <w:sz w:val="28"/>
          <w:szCs w:val="28"/>
        </w:rPr>
      </w:pPr>
      <w:r>
        <w:rPr>
          <w:rFonts w:cs="Calibri" w:ascii="Calibri" w:hAnsi="Calibri"/>
          <w:b/>
          <w:sz w:val="28"/>
          <w:szCs w:val="28"/>
          <w:u w:val="single"/>
        </w:rPr>
        <w:t xml:space="preserve"> </w:t>
      </w:r>
      <w:r>
        <w:rPr>
          <w:rFonts w:cs="Calibri" w:ascii="Calibri" w:hAnsi="Calibri"/>
          <w:b/>
          <w:sz w:val="28"/>
          <w:szCs w:val="28"/>
          <w:u w:val="single"/>
        </w:rPr>
        <w:t>at 7.00 pm</w:t>
      </w:r>
      <w:r>
        <w:rPr>
          <w:rFonts w:cs="Calibri" w:ascii="Calibri" w:hAnsi="Calibri"/>
          <w:b/>
          <w:color w:val="FF0000"/>
          <w:sz w:val="28"/>
          <w:szCs w:val="28"/>
          <w:u w:val="single"/>
        </w:rPr>
        <w:t xml:space="preserve"> </w:t>
      </w:r>
    </w:p>
    <w:p>
      <w:pPr>
        <w:pStyle w:val="Normal"/>
        <w:ind w:hanging="0" w:right="-58"/>
        <w:jc w:val="center"/>
        <w:rPr>
          <w:rFonts w:ascii="Calibri" w:hAnsi="Calibri" w:cs="Calibri"/>
          <w:b/>
          <w:color w:val="FF0000"/>
          <w:sz w:val="24"/>
          <w:szCs w:val="24"/>
          <w:u w:val="single"/>
        </w:rPr>
      </w:pPr>
      <w:r>
        <w:rPr>
          <w:rFonts w:cs="Calibri" w:ascii="Calibri" w:hAnsi="Calibri"/>
          <w:b/>
          <w:color w:val="FF0000"/>
          <w:sz w:val="24"/>
          <w:szCs w:val="24"/>
          <w:u w:val="single"/>
        </w:rPr>
      </w:r>
    </w:p>
    <w:tbl>
      <w:tblPr>
        <w:tblW w:w="9120" w:type="dxa"/>
        <w:jc w:val="left"/>
        <w:tblInd w:w="765" w:type="dxa"/>
        <w:tblLayout w:type="fixed"/>
        <w:tblCellMar>
          <w:top w:w="55" w:type="dxa"/>
          <w:left w:w="108" w:type="dxa"/>
          <w:bottom w:w="55" w:type="dxa"/>
          <w:right w:w="108" w:type="dxa"/>
        </w:tblCellMar>
        <w:tblLook w:firstRow="0" w:noVBand="0" w:lastRow="0" w:firstColumn="0" w:lastColumn="0" w:noHBand="0" w:val="0000"/>
      </w:tblPr>
      <w:tblGrid>
        <w:gridCol w:w="630"/>
        <w:gridCol w:w="8489"/>
      </w:tblGrid>
      <w:tr>
        <w:trPr/>
        <w:tc>
          <w:tcPr>
            <w:tcW w:w="630" w:type="dxa"/>
            <w:tcBorders>
              <w:top w:val="single" w:sz="4" w:space="0" w:color="000000"/>
              <w:left w:val="single" w:sz="4" w:space="0" w:color="000000"/>
              <w:bottom w:val="single" w:sz="4" w:space="0" w:color="000000"/>
            </w:tcBorders>
            <w:shd w:fill="auto" w:val="clear"/>
          </w:tcPr>
          <w:p>
            <w:pPr>
              <w:pStyle w:val="Normal"/>
              <w:widowControl w:val="false"/>
              <w:rPr>
                <w:sz w:val="20"/>
                <w:szCs w:val="20"/>
              </w:rPr>
            </w:pPr>
            <w:r>
              <w:rPr>
                <w:rFonts w:cs="Calibri" w:ascii="Calibri" w:hAnsi="Calibri" w:asciiTheme="minorHAnsi" w:cstheme="minorHAnsi" w:hAnsiTheme="minorHAnsi"/>
                <w:b/>
                <w:sz w:val="20"/>
                <w:szCs w:val="20"/>
              </w:rPr>
              <w:t>1.</w:t>
            </w:r>
          </w:p>
        </w:tc>
        <w:tc>
          <w:tcPr>
            <w:tcW w:w="8489" w:type="dxa"/>
            <w:tcBorders>
              <w:top w:val="single" w:sz="4" w:space="0" w:color="000000"/>
              <w:left w:val="single" w:sz="4" w:space="0" w:color="000000"/>
              <w:bottom w:val="single" w:sz="4" w:space="0" w:color="000000"/>
              <w:right w:val="single" w:sz="4" w:space="0" w:color="000000"/>
            </w:tcBorders>
            <w:shd w:fill="auto" w:val="clear"/>
          </w:tcPr>
          <w:p>
            <w:pPr>
              <w:pStyle w:val="Heading1"/>
              <w:widowControl w:val="false"/>
              <w:rPr>
                <w:sz w:val="20"/>
                <w:szCs w:val="20"/>
              </w:rPr>
            </w:pPr>
            <w:r>
              <w:rPr>
                <w:rFonts w:cs="Calibri" w:ascii="Calibri" w:hAnsi="Calibri" w:asciiTheme="minorHAnsi" w:cstheme="minorHAnsi" w:hAnsiTheme="minorHAnsi"/>
                <w:sz w:val="20"/>
                <w:szCs w:val="20"/>
              </w:rPr>
              <w:t>Apologies for Absence</w:t>
            </w:r>
          </w:p>
          <w:p>
            <w:pPr>
              <w:pStyle w:val="Normal"/>
              <w:widowControl w:val="false"/>
              <w:rPr>
                <w:rFonts w:ascii="Calibri" w:hAnsi="Calibri" w:asciiTheme="minorHAnsi" w:hAnsiTheme="minorHAnsi"/>
                <w:sz w:val="20"/>
                <w:szCs w:val="20"/>
              </w:rPr>
            </w:pPr>
            <w:r>
              <w:rPr>
                <w:rFonts w:asciiTheme="minorHAnsi" w:hAnsiTheme="minorHAnsi" w:ascii="Calibri" w:hAnsi="Calibri"/>
                <w:sz w:val="20"/>
                <w:szCs w:val="20"/>
              </w:rPr>
            </w:r>
          </w:p>
        </w:tc>
      </w:tr>
      <w:tr>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cs="Calibri" w:ascii="Calibri" w:hAnsi="Calibri" w:asciiTheme="minorHAnsi" w:cstheme="minorHAnsi" w:hAnsiTheme="minorHAnsi"/>
                <w:b/>
                <w:sz w:val="20"/>
                <w:szCs w:val="20"/>
              </w:rPr>
              <w:t>2.</w:t>
            </w:r>
          </w:p>
        </w:tc>
        <w:tc>
          <w:tcPr>
            <w:tcW w:w="8489" w:type="dxa"/>
            <w:tcBorders>
              <w:left w:val="single" w:sz="4" w:space="0" w:color="000000"/>
              <w:bottom w:val="single" w:sz="4" w:space="0" w:color="000000"/>
              <w:right w:val="single" w:sz="4" w:space="0" w:color="000000"/>
            </w:tcBorders>
            <w:shd w:fill="auto" w:val="clear"/>
          </w:tcPr>
          <w:p>
            <w:pPr>
              <w:pStyle w:val="Normal"/>
              <w:widowControl w:val="false"/>
              <w:rPr>
                <w:sz w:val="20"/>
                <w:szCs w:val="20"/>
              </w:rPr>
            </w:pPr>
            <w:r>
              <w:rPr>
                <w:rFonts w:cs="Calibri" w:ascii="Calibri" w:hAnsi="Calibri" w:asciiTheme="minorHAnsi" w:cstheme="minorHAnsi" w:hAnsiTheme="minorHAnsi"/>
                <w:b/>
                <w:sz w:val="20"/>
                <w:szCs w:val="20"/>
                <w:u w:val="single"/>
              </w:rPr>
              <w:t>Public Questions and Statements</w:t>
            </w:r>
          </w:p>
          <w:p>
            <w:pPr>
              <w:pStyle w:val="Normal"/>
              <w:widowControl w:val="false"/>
              <w:rPr>
                <w:sz w:val="20"/>
                <w:szCs w:val="20"/>
              </w:rPr>
            </w:pPr>
            <w:r>
              <w:rPr>
                <w:rFonts w:cs="Calibri" w:ascii="Calibri" w:hAnsi="Calibri" w:asciiTheme="minorHAnsi" w:cstheme="minorHAnsi" w:hAnsiTheme="minorHAnsi"/>
                <w:sz w:val="20"/>
                <w:szCs w:val="20"/>
              </w:rPr>
              <w:t>Members of the public may ask questions or make statements on the business of the Parish Council. Notice of the question or statement should be given to the Clerk seven  days prior to the meeting.  At the discretion of the Chairman, questions or statements may be made at shorter notice.  No member of the public may speak for more than three minutes, or for any other part of the meeting.  The maximum time allowed for this part of the meeting is 15 minutes.</w:t>
            </w:r>
          </w:p>
          <w:p>
            <w:pPr>
              <w:pStyle w:val="Normal"/>
              <w:widowControl w:val="false"/>
              <w:rPr>
                <w:rFonts w:ascii="Calibri" w:hAnsi="Calibri" w:cs="Calibri" w:asciiTheme="minorHAnsi" w:cstheme="minorHAnsi" w:hAnsiTheme="minorHAnsi"/>
                <w:sz w:val="20"/>
                <w:szCs w:val="20"/>
              </w:rPr>
            </w:pPr>
            <w:r>
              <w:rPr>
                <w:rFonts w:cs="Calibri" w:cstheme="minorHAnsi" w:ascii="Calibri" w:hAnsi="Calibri"/>
                <w:sz w:val="20"/>
                <w:szCs w:val="20"/>
              </w:rPr>
            </w:r>
          </w:p>
        </w:tc>
      </w:tr>
      <w:tr>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ascii="Calibri" w:hAnsi="Calibri"/>
                <w:b/>
                <w:bCs/>
                <w:sz w:val="20"/>
                <w:szCs w:val="20"/>
                <w:u w:val="none"/>
              </w:rPr>
              <w:t>3.</w:t>
            </w:r>
          </w:p>
        </w:tc>
        <w:tc>
          <w:tcPr>
            <w:tcW w:w="8489" w:type="dxa"/>
            <w:tcBorders>
              <w:left w:val="single" w:sz="4" w:space="0" w:color="000000"/>
              <w:bottom w:val="single" w:sz="4" w:space="0" w:color="000000"/>
              <w:right w:val="single" w:sz="4" w:space="0" w:color="000000"/>
            </w:tcBorders>
            <w:shd w:fill="auto" w:val="clear"/>
          </w:tcPr>
          <w:p>
            <w:pPr>
              <w:pStyle w:val="Heading1"/>
              <w:widowControl w:val="false"/>
              <w:rPr>
                <w:sz w:val="20"/>
                <w:szCs w:val="20"/>
              </w:rPr>
            </w:pPr>
            <w:r>
              <w:rPr>
                <w:rFonts w:ascii="Calibri" w:hAnsi="Calibri"/>
                <w:b/>
                <w:bCs/>
                <w:sz w:val="20"/>
                <w:szCs w:val="20"/>
                <w:u w:val="single"/>
              </w:rPr>
              <w:t>Matters Arising from the Minutes of the Meeting Held on 27 March 2024</w:t>
            </w:r>
          </w:p>
        </w:tc>
      </w:tr>
      <w:tr>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ascii="Calibri" w:hAnsi="Calibri"/>
                <w:b w:val="false"/>
                <w:bCs w:val="false"/>
                <w:sz w:val="20"/>
                <w:szCs w:val="20"/>
                <w:u w:val="none"/>
              </w:rPr>
              <w:t>3.1</w:t>
            </w:r>
          </w:p>
        </w:tc>
        <w:tc>
          <w:tcPr>
            <w:tcW w:w="8489" w:type="dxa"/>
            <w:tcBorders>
              <w:left w:val="single" w:sz="4" w:space="0" w:color="000000"/>
              <w:bottom w:val="single" w:sz="4" w:space="0" w:color="000000"/>
              <w:right w:val="single" w:sz="4" w:space="0" w:color="000000"/>
            </w:tcBorders>
            <w:shd w:fill="auto" w:val="clear"/>
          </w:tcPr>
          <w:p>
            <w:pPr>
              <w:pStyle w:val="Normal"/>
              <w:widowControl w:val="false"/>
              <w:rPr>
                <w:rFonts w:ascii="Calibri" w:hAnsi="Calibri"/>
                <w:sz w:val="20"/>
                <w:szCs w:val="20"/>
              </w:rPr>
            </w:pPr>
            <w:r>
              <w:rPr>
                <w:rFonts w:ascii="Calibri" w:hAnsi="Calibri"/>
                <w:sz w:val="20"/>
                <w:szCs w:val="20"/>
              </w:rPr>
              <w:t>Highway Matters</w:t>
            </w:r>
          </w:p>
          <w:p>
            <w:pPr>
              <w:pStyle w:val="Normal"/>
              <w:widowControl w:val="false"/>
              <w:rPr>
                <w:rFonts w:ascii="Calibri" w:hAnsi="Calibri"/>
                <w:b w:val="false"/>
                <w:bCs w:val="false"/>
                <w:sz w:val="20"/>
                <w:szCs w:val="20"/>
                <w:u w:val="none"/>
              </w:rPr>
            </w:pPr>
            <w:r>
              <w:rPr>
                <w:rFonts w:ascii="Calibri" w:hAnsi="Calibri"/>
                <w:b w:val="false"/>
                <w:bCs w:val="false"/>
                <w:sz w:val="20"/>
                <w:szCs w:val="20"/>
                <w:u w:val="none"/>
              </w:rPr>
            </w:r>
          </w:p>
        </w:tc>
      </w:tr>
      <w:tr>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ascii="Calibri" w:hAnsi="Calibri"/>
                <w:b/>
                <w:bCs/>
                <w:sz w:val="20"/>
                <w:szCs w:val="20"/>
                <w:u w:val="none"/>
              </w:rPr>
              <w:t>4.</w:t>
            </w:r>
          </w:p>
        </w:tc>
        <w:tc>
          <w:tcPr>
            <w:tcW w:w="8489" w:type="dxa"/>
            <w:tcBorders>
              <w:left w:val="single" w:sz="4" w:space="0" w:color="000000"/>
              <w:bottom w:val="single" w:sz="4" w:space="0" w:color="000000"/>
              <w:right w:val="single" w:sz="4" w:space="0" w:color="000000"/>
            </w:tcBorders>
            <w:shd w:fill="auto" w:val="clear"/>
          </w:tcPr>
          <w:p>
            <w:pPr>
              <w:pStyle w:val="Heading1"/>
              <w:widowControl w:val="false"/>
              <w:rPr>
                <w:sz w:val="20"/>
                <w:szCs w:val="20"/>
              </w:rPr>
            </w:pPr>
            <w:r>
              <w:rPr>
                <w:rFonts w:ascii="Calibri" w:hAnsi="Calibri"/>
                <w:b/>
                <w:bCs/>
                <w:sz w:val="20"/>
                <w:szCs w:val="20"/>
                <w:u w:val="single"/>
              </w:rPr>
              <w:t>Police Matters</w:t>
            </w:r>
          </w:p>
        </w:tc>
      </w:tr>
      <w:tr>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ascii="Calibri" w:hAnsi="Calibri"/>
                <w:b w:val="false"/>
                <w:bCs w:val="false"/>
                <w:sz w:val="20"/>
                <w:szCs w:val="20"/>
                <w:u w:val="none"/>
              </w:rPr>
              <w:t>4.1</w:t>
            </w:r>
          </w:p>
        </w:tc>
        <w:tc>
          <w:tcPr>
            <w:tcW w:w="8489" w:type="dxa"/>
            <w:tcBorders>
              <w:left w:val="single" w:sz="4" w:space="0" w:color="000000"/>
              <w:bottom w:val="single" w:sz="4" w:space="0" w:color="000000"/>
              <w:right w:val="single" w:sz="4" w:space="0" w:color="000000"/>
            </w:tcBorders>
            <w:shd w:fill="auto" w:val="clear"/>
          </w:tcPr>
          <w:p>
            <w:pPr>
              <w:pStyle w:val="Heading1"/>
              <w:widowControl w:val="false"/>
              <w:rPr>
                <w:sz w:val="20"/>
                <w:szCs w:val="20"/>
              </w:rPr>
            </w:pPr>
            <w:r>
              <w:rPr>
                <w:rFonts w:ascii="Calibri" w:hAnsi="Calibri"/>
                <w:b w:val="false"/>
                <w:bCs w:val="false"/>
                <w:sz w:val="20"/>
                <w:szCs w:val="20"/>
                <w:u w:val="none"/>
              </w:rPr>
              <w:t>Update</w:t>
            </w:r>
          </w:p>
          <w:p>
            <w:pPr>
              <w:pStyle w:val="Normal"/>
              <w:widowControl w:val="false"/>
              <w:rPr>
                <w:rFonts w:ascii="Calibri" w:hAnsi="Calibri"/>
                <w:b w:val="false"/>
                <w:bCs w:val="false"/>
                <w:sz w:val="20"/>
                <w:szCs w:val="20"/>
                <w:u w:val="none"/>
              </w:rPr>
            </w:pPr>
            <w:r>
              <w:rPr>
                <w:rFonts w:ascii="Calibri" w:hAnsi="Calibri"/>
                <w:b w:val="false"/>
                <w:bCs w:val="false"/>
                <w:sz w:val="20"/>
                <w:szCs w:val="20"/>
                <w:u w:val="none"/>
              </w:rPr>
            </w:r>
          </w:p>
        </w:tc>
      </w:tr>
      <w:tr>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cs="Calibri" w:ascii="Calibri" w:hAnsi="Calibri" w:asciiTheme="minorHAnsi" w:cstheme="minorHAnsi" w:hAnsiTheme="minorHAnsi"/>
                <w:b/>
                <w:sz w:val="20"/>
                <w:szCs w:val="20"/>
              </w:rPr>
              <w:t>5</w:t>
            </w:r>
          </w:p>
        </w:tc>
        <w:tc>
          <w:tcPr>
            <w:tcW w:w="8489" w:type="dxa"/>
            <w:tcBorders>
              <w:left w:val="single" w:sz="4" w:space="0" w:color="000000"/>
              <w:bottom w:val="single" w:sz="4" w:space="0" w:color="000000"/>
              <w:right w:val="single" w:sz="4" w:space="0" w:color="000000"/>
            </w:tcBorders>
            <w:shd w:fill="auto" w:val="clear"/>
          </w:tcPr>
          <w:p>
            <w:pPr>
              <w:pStyle w:val="Heading1"/>
              <w:widowControl w:val="false"/>
              <w:rPr>
                <w:sz w:val="20"/>
                <w:szCs w:val="20"/>
              </w:rPr>
            </w:pPr>
            <w:r>
              <w:rPr>
                <w:rFonts w:cs="Calibri" w:ascii="Calibri" w:hAnsi="Calibri" w:asciiTheme="minorHAnsi" w:cstheme="minorHAnsi" w:hAnsiTheme="minorHAnsi"/>
                <w:sz w:val="20"/>
                <w:szCs w:val="20"/>
              </w:rPr>
              <w:t>Financial Matters</w:t>
            </w:r>
          </w:p>
        </w:tc>
      </w:tr>
      <w:tr>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cs="Calibri" w:ascii="Calibri" w:hAnsi="Calibri" w:asciiTheme="minorHAnsi" w:cstheme="minorHAnsi" w:hAnsiTheme="minorHAnsi"/>
                <w:sz w:val="20"/>
                <w:szCs w:val="20"/>
              </w:rPr>
              <w:t>5.1</w:t>
            </w:r>
          </w:p>
        </w:tc>
        <w:tc>
          <w:tcPr>
            <w:tcW w:w="8489" w:type="dxa"/>
            <w:tcBorders>
              <w:left w:val="single" w:sz="4" w:space="0" w:color="000000"/>
              <w:bottom w:val="single" w:sz="4" w:space="0" w:color="000000"/>
              <w:right w:val="single" w:sz="4" w:space="0" w:color="000000"/>
            </w:tcBorders>
            <w:shd w:fill="auto" w:val="clear"/>
          </w:tcPr>
          <w:p>
            <w:pPr>
              <w:pStyle w:val="Normal"/>
              <w:widowControl w:val="false"/>
              <w:rPr>
                <w:sz w:val="20"/>
                <w:szCs w:val="20"/>
              </w:rPr>
            </w:pPr>
            <w:r>
              <w:rPr>
                <w:rFonts w:cs="Calibri" w:ascii="Calibri" w:hAnsi="Calibri" w:asciiTheme="minorHAnsi" w:cstheme="minorHAnsi" w:hAnsiTheme="minorHAnsi"/>
                <w:sz w:val="20"/>
                <w:szCs w:val="20"/>
              </w:rPr>
              <w:t>Funds Receive</w:t>
            </w:r>
          </w:p>
          <w:p>
            <w:pPr>
              <w:pStyle w:val="Normal"/>
              <w:widowControl w:val="false"/>
              <w:numPr>
                <w:ilvl w:val="0"/>
                <w:numId w:val="1"/>
              </w:numPr>
              <w:rPr>
                <w:sz w:val="20"/>
                <w:szCs w:val="20"/>
              </w:rPr>
            </w:pPr>
            <w:r>
              <w:rPr>
                <w:rFonts w:cs="Calibri" w:ascii="Calibri" w:hAnsi="Calibri" w:cstheme="minorHAnsi"/>
                <w:sz w:val="20"/>
                <w:szCs w:val="20"/>
              </w:rPr>
              <w:t>None</w:t>
            </w:r>
          </w:p>
        </w:tc>
      </w:tr>
      <w:tr>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cs="Calibri" w:ascii="Calibri" w:hAnsi="Calibri" w:asciiTheme="minorHAnsi" w:cstheme="minorHAnsi" w:hAnsiTheme="minorHAnsi"/>
                <w:sz w:val="20"/>
                <w:szCs w:val="20"/>
              </w:rPr>
              <w:t>5.2</w:t>
            </w:r>
          </w:p>
        </w:tc>
        <w:tc>
          <w:tcPr>
            <w:tcW w:w="8489" w:type="dxa"/>
            <w:tcBorders>
              <w:left w:val="single" w:sz="4" w:space="0" w:color="000000"/>
              <w:bottom w:val="single" w:sz="4" w:space="0" w:color="000000"/>
              <w:right w:val="single" w:sz="4" w:space="0" w:color="000000"/>
            </w:tcBorders>
            <w:shd w:fill="auto" w:val="clear"/>
          </w:tcPr>
          <w:p>
            <w:pPr>
              <w:pStyle w:val="Normal"/>
              <w:widowControl w:val="false"/>
              <w:rPr>
                <w:sz w:val="20"/>
                <w:szCs w:val="20"/>
              </w:rPr>
            </w:pPr>
            <w:r>
              <w:rPr>
                <w:rFonts w:cs="Calibri" w:ascii="Calibri" w:hAnsi="Calibri" w:asciiTheme="minorHAnsi" w:cstheme="minorHAnsi" w:hAnsiTheme="minorHAnsi"/>
                <w:sz w:val="20"/>
                <w:szCs w:val="20"/>
              </w:rPr>
              <w:t>Bank Balance at 31.03.24 was £1,815.60</w:t>
            </w:r>
          </w:p>
        </w:tc>
      </w:tr>
      <w:tr>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ascii="Calibri" w:hAnsi="Calibri"/>
                <w:sz w:val="20"/>
                <w:szCs w:val="20"/>
              </w:rPr>
              <w:t>5.3</w:t>
            </w:r>
          </w:p>
        </w:tc>
        <w:tc>
          <w:tcPr>
            <w:tcW w:w="8489" w:type="dxa"/>
            <w:tcBorders>
              <w:left w:val="single" w:sz="4" w:space="0" w:color="000000"/>
              <w:bottom w:val="single" w:sz="4" w:space="0" w:color="000000"/>
              <w:right w:val="single" w:sz="4" w:space="0" w:color="000000"/>
            </w:tcBorders>
            <w:shd w:fill="auto" w:val="clear"/>
          </w:tcPr>
          <w:p>
            <w:pPr>
              <w:pStyle w:val="Normal"/>
              <w:widowControl w:val="false"/>
              <w:rPr>
                <w:sz w:val="20"/>
                <w:szCs w:val="20"/>
              </w:rPr>
            </w:pPr>
            <w:r>
              <w:rPr>
                <w:rFonts w:eastAsia="Times New Roman" w:cs="Times New Roman" w:ascii="Calibri" w:hAnsi="Calibri"/>
                <w:color w:val="00000A"/>
                <w:kern w:val="0"/>
                <w:sz w:val="20"/>
                <w:szCs w:val="20"/>
                <w:lang w:val="en-GB" w:eastAsia="en-US" w:bidi="ar-SA"/>
              </w:rPr>
              <w:t>Invoice Received</w:t>
            </w:r>
          </w:p>
          <w:p>
            <w:pPr>
              <w:pStyle w:val="Normal"/>
              <w:widowControl w:val="false"/>
              <w:numPr>
                <w:ilvl w:val="0"/>
                <w:numId w:val="5"/>
              </w:numPr>
              <w:rPr>
                <w:sz w:val="20"/>
                <w:szCs w:val="20"/>
              </w:rPr>
            </w:pPr>
            <w:r>
              <w:rPr>
                <w:rFonts w:ascii="Calibri" w:hAnsi="Calibri"/>
                <w:sz w:val="20"/>
                <w:szCs w:val="20"/>
              </w:rPr>
              <w:t>None</w:t>
            </w:r>
          </w:p>
          <w:p>
            <w:pPr>
              <w:pStyle w:val="Normal"/>
              <w:widowControl w:val="false"/>
              <w:numPr>
                <w:ilvl w:val="0"/>
                <w:numId w:val="0"/>
              </w:numPr>
              <w:ind w:hanging="0" w:left="720"/>
              <w:rPr>
                <w:sz w:val="20"/>
                <w:szCs w:val="20"/>
              </w:rPr>
            </w:pPr>
            <w:r>
              <w:rPr>
                <w:sz w:val="20"/>
                <w:szCs w:val="20"/>
              </w:rPr>
            </w:r>
          </w:p>
        </w:tc>
      </w:tr>
      <w:tr>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cs="Calibri" w:ascii="Calibri" w:hAnsi="Calibri" w:asciiTheme="minorHAnsi" w:cstheme="minorHAnsi" w:hAnsiTheme="minorHAnsi"/>
                <w:b/>
                <w:sz w:val="20"/>
                <w:szCs w:val="20"/>
              </w:rPr>
              <w:t>6</w:t>
            </w:r>
          </w:p>
        </w:tc>
        <w:tc>
          <w:tcPr>
            <w:tcW w:w="8489" w:type="dxa"/>
            <w:tcBorders>
              <w:left w:val="single" w:sz="4" w:space="0" w:color="000000"/>
              <w:bottom w:val="single" w:sz="4" w:space="0" w:color="000000"/>
              <w:right w:val="single" w:sz="4" w:space="0" w:color="000000"/>
            </w:tcBorders>
            <w:shd w:fill="auto" w:val="clear"/>
          </w:tcPr>
          <w:p>
            <w:pPr>
              <w:pStyle w:val="Heading1"/>
              <w:widowControl w:val="false"/>
              <w:rPr>
                <w:sz w:val="20"/>
                <w:szCs w:val="20"/>
              </w:rPr>
            </w:pPr>
            <w:r>
              <w:rPr>
                <w:rFonts w:cs="Calibri" w:ascii="Calibri" w:hAnsi="Calibri" w:asciiTheme="minorHAnsi" w:cstheme="minorHAnsi" w:hAnsiTheme="minorHAnsi"/>
                <w:b/>
                <w:bCs/>
                <w:sz w:val="20"/>
                <w:szCs w:val="20"/>
                <w:u w:val="single"/>
              </w:rPr>
              <w:t>Planning and Related Matters</w:t>
            </w:r>
          </w:p>
        </w:tc>
      </w:tr>
      <w:tr>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cs="Calibri" w:ascii="Calibri" w:hAnsi="Calibri" w:asciiTheme="minorHAnsi" w:cstheme="minorHAnsi" w:hAnsiTheme="minorHAnsi"/>
                <w:sz w:val="20"/>
                <w:szCs w:val="20"/>
              </w:rPr>
              <w:t>6.1</w:t>
            </w:r>
          </w:p>
        </w:tc>
        <w:tc>
          <w:tcPr>
            <w:tcW w:w="8489" w:type="dxa"/>
            <w:tcBorders>
              <w:left w:val="single" w:sz="4" w:space="0" w:color="000000"/>
              <w:bottom w:val="single" w:sz="4" w:space="0" w:color="000000"/>
              <w:right w:val="single" w:sz="4" w:space="0" w:color="000000"/>
            </w:tcBorders>
            <w:shd w:fill="auto" w:val="clear"/>
          </w:tcPr>
          <w:p>
            <w:pPr>
              <w:pStyle w:val="Normal"/>
              <w:widowControl w:val="false"/>
              <w:rPr>
                <w:sz w:val="20"/>
                <w:szCs w:val="20"/>
              </w:rPr>
            </w:pPr>
            <w:r>
              <w:rPr>
                <w:rFonts w:cs="Calibri" w:ascii="Calibri" w:hAnsi="Calibri" w:asciiTheme="minorHAnsi" w:cstheme="minorHAnsi" w:hAnsiTheme="minorHAnsi"/>
                <w:sz w:val="20"/>
                <w:szCs w:val="20"/>
              </w:rPr>
              <w:t>Planning Applications received &amp; to be determined</w:t>
            </w:r>
          </w:p>
          <w:p>
            <w:pPr>
              <w:pStyle w:val="Normal"/>
              <w:widowControl w:val="false"/>
              <w:numPr>
                <w:ilvl w:val="0"/>
                <w:numId w:val="2"/>
              </w:numPr>
              <w:rPr>
                <w:sz w:val="20"/>
                <w:szCs w:val="20"/>
              </w:rPr>
            </w:pPr>
            <w:r>
              <w:rPr>
                <w:rFonts w:cs="Calibri" w:ascii="Calibri" w:hAnsi="Calibri" w:cstheme="minorHAnsi"/>
                <w:sz w:val="20"/>
                <w:szCs w:val="20"/>
              </w:rPr>
              <w:t>1 The Mount Wighill -Single storey rear extension &amp; Fenestration Alterations</w:t>
            </w:r>
          </w:p>
          <w:p>
            <w:pPr>
              <w:pStyle w:val="Normal"/>
              <w:numPr>
                <w:ilvl w:val="0"/>
                <w:numId w:val="2"/>
              </w:numPr>
              <w:rPr>
                <w:rFonts w:ascii="Calibri" w:hAnsi="Calibri" w:cs="Calibri" w:cstheme="minorHAnsi"/>
                <w:sz w:val="20"/>
                <w:szCs w:val="20"/>
              </w:rPr>
            </w:pPr>
            <w:r>
              <w:rPr>
                <w:rFonts w:cs="Calibri" w:ascii="Calibri" w:hAnsi="Calibri"/>
                <w:sz w:val="20"/>
                <w:szCs w:val="20"/>
              </w:rPr>
              <w:t>College Farm Wighill – Erection of a domestic store, garage and workshop</w:t>
            </w:r>
          </w:p>
        </w:tc>
      </w:tr>
      <w:tr>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cs="Calibri" w:ascii="Calibri" w:hAnsi="Calibri" w:asciiTheme="minorHAnsi" w:cstheme="minorHAnsi" w:hAnsiTheme="minorHAnsi"/>
                <w:sz w:val="20"/>
                <w:szCs w:val="20"/>
              </w:rPr>
              <w:t>6.2</w:t>
            </w:r>
          </w:p>
        </w:tc>
        <w:tc>
          <w:tcPr>
            <w:tcW w:w="8489" w:type="dxa"/>
            <w:tcBorders>
              <w:left w:val="single" w:sz="4" w:space="0" w:color="000000"/>
              <w:bottom w:val="single" w:sz="4" w:space="0" w:color="000000"/>
              <w:right w:val="single" w:sz="4" w:space="0" w:color="000000"/>
            </w:tcBorders>
            <w:shd w:fill="auto" w:val="clear"/>
          </w:tcPr>
          <w:p>
            <w:pPr>
              <w:pStyle w:val="Normal"/>
              <w:widowControl w:val="false"/>
              <w:rPr>
                <w:sz w:val="20"/>
                <w:szCs w:val="20"/>
              </w:rPr>
            </w:pPr>
            <w:r>
              <w:rPr>
                <w:rFonts w:cs="Calibri" w:ascii="Calibri" w:hAnsi="Calibri" w:asciiTheme="minorHAnsi" w:cstheme="minorHAnsi" w:hAnsiTheme="minorHAnsi"/>
                <w:sz w:val="20"/>
                <w:szCs w:val="20"/>
              </w:rPr>
              <w:t>Planning decision notifications received</w:t>
            </w:r>
          </w:p>
          <w:p>
            <w:pPr>
              <w:pStyle w:val="Normal"/>
              <w:widowControl w:val="false"/>
              <w:numPr>
                <w:ilvl w:val="0"/>
                <w:numId w:val="3"/>
              </w:numPr>
              <w:rPr>
                <w:sz w:val="20"/>
                <w:szCs w:val="20"/>
              </w:rPr>
            </w:pPr>
            <w:r>
              <w:rPr>
                <w:rFonts w:cs="Calibri" w:ascii="Calibri" w:hAnsi="Calibri" w:cstheme="minorHAnsi"/>
                <w:sz w:val="20"/>
                <w:szCs w:val="20"/>
              </w:rPr>
              <w:t>None</w:t>
            </w:r>
          </w:p>
        </w:tc>
      </w:tr>
      <w:tr>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eastAsia="Times New Roman" w:cs="Times New Roman" w:ascii="Calibri" w:hAnsi="Calibri"/>
                <w:color w:val="00000A"/>
                <w:kern w:val="0"/>
                <w:sz w:val="20"/>
                <w:szCs w:val="20"/>
                <w:lang w:val="en-GB" w:eastAsia="en-US" w:bidi="ar-SA"/>
              </w:rPr>
              <w:t>6.3</w:t>
            </w:r>
          </w:p>
        </w:tc>
        <w:tc>
          <w:tcPr>
            <w:tcW w:w="8489" w:type="dxa"/>
            <w:tcBorders>
              <w:left w:val="single" w:sz="4" w:space="0" w:color="000000"/>
              <w:bottom w:val="single" w:sz="4" w:space="0" w:color="000000"/>
              <w:right w:val="single" w:sz="4" w:space="0" w:color="000000"/>
            </w:tcBorders>
            <w:shd w:fill="auto" w:val="clear"/>
          </w:tcPr>
          <w:p>
            <w:pPr>
              <w:pStyle w:val="Normal"/>
              <w:widowControl w:val="false"/>
              <w:rPr>
                <w:sz w:val="20"/>
                <w:szCs w:val="20"/>
              </w:rPr>
            </w:pPr>
            <w:r>
              <w:rPr>
                <w:rFonts w:ascii="Calibri" w:hAnsi="Calibri"/>
                <w:sz w:val="20"/>
                <w:szCs w:val="20"/>
              </w:rPr>
              <w:t>Planning Enforcement</w:t>
            </w:r>
          </w:p>
          <w:p>
            <w:pPr>
              <w:pStyle w:val="Normal"/>
              <w:widowControl w:val="false"/>
              <w:numPr>
                <w:ilvl w:val="0"/>
                <w:numId w:val="4"/>
              </w:numPr>
              <w:rPr>
                <w:sz w:val="20"/>
                <w:szCs w:val="20"/>
              </w:rPr>
            </w:pPr>
            <w:r>
              <w:rPr>
                <w:rFonts w:ascii="Calibri" w:hAnsi="Calibri"/>
                <w:sz w:val="20"/>
                <w:szCs w:val="20"/>
              </w:rPr>
              <w:t>None</w:t>
            </w:r>
          </w:p>
          <w:p>
            <w:pPr>
              <w:pStyle w:val="Normal"/>
              <w:widowControl w:val="false"/>
              <w:rPr>
                <w:rFonts w:ascii="Calibri" w:hAnsi="Calibri"/>
                <w:sz w:val="20"/>
                <w:szCs w:val="20"/>
              </w:rPr>
            </w:pPr>
            <w:r>
              <w:rPr>
                <w:rFonts w:ascii="Calibri" w:hAnsi="Calibri"/>
                <w:sz w:val="20"/>
                <w:szCs w:val="20"/>
              </w:rPr>
            </w:r>
          </w:p>
        </w:tc>
      </w:tr>
      <w:tr>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cs="Calibri" w:ascii="Calibri" w:hAnsi="Calibri" w:asciiTheme="minorHAnsi" w:cstheme="minorHAnsi" w:hAnsiTheme="minorHAnsi"/>
                <w:b/>
                <w:bCs/>
                <w:sz w:val="20"/>
                <w:szCs w:val="20"/>
              </w:rPr>
              <w:t>7</w:t>
            </w:r>
          </w:p>
        </w:tc>
        <w:tc>
          <w:tcPr>
            <w:tcW w:w="8489" w:type="dxa"/>
            <w:tcBorders>
              <w:left w:val="single" w:sz="4" w:space="0" w:color="000000"/>
              <w:bottom w:val="single" w:sz="4" w:space="0" w:color="000000"/>
              <w:right w:val="single" w:sz="4" w:space="0" w:color="000000"/>
            </w:tcBorders>
            <w:shd w:fill="auto" w:val="clear"/>
          </w:tcPr>
          <w:p>
            <w:pPr>
              <w:pStyle w:val="Heading1"/>
              <w:widowControl w:val="false"/>
              <w:rPr>
                <w:sz w:val="20"/>
                <w:szCs w:val="20"/>
              </w:rPr>
            </w:pPr>
            <w:r>
              <w:rPr>
                <w:rFonts w:cs="Calibri" w:ascii="Calibri" w:hAnsi="Calibri" w:asciiTheme="minorHAnsi" w:cstheme="minorHAnsi" w:hAnsiTheme="minorHAnsi"/>
                <w:sz w:val="20"/>
                <w:szCs w:val="20"/>
              </w:rPr>
              <w:t>PC Administration</w:t>
            </w:r>
          </w:p>
        </w:tc>
      </w:tr>
      <w:tr>
        <w:trPr>
          <w:trHeight w:val="421" w:hRule="atLeast"/>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ascii="Calibri" w:hAnsi="Calibri"/>
                <w:sz w:val="20"/>
                <w:szCs w:val="20"/>
              </w:rPr>
              <w:t>7.1</w:t>
            </w:r>
          </w:p>
        </w:tc>
        <w:tc>
          <w:tcPr>
            <w:tcW w:w="8489" w:type="dxa"/>
            <w:tcBorders>
              <w:left w:val="single" w:sz="4" w:space="0" w:color="000000"/>
              <w:bottom w:val="single" w:sz="4" w:space="0" w:color="000000"/>
              <w:right w:val="single" w:sz="4" w:space="0" w:color="000000"/>
            </w:tcBorders>
            <w:shd w:fill="auto" w:val="clear"/>
          </w:tcPr>
          <w:p>
            <w:pPr>
              <w:pStyle w:val="Heading1"/>
              <w:widowControl w:val="false"/>
              <w:jc w:val="left"/>
              <w:rPr>
                <w:sz w:val="20"/>
                <w:szCs w:val="20"/>
              </w:rPr>
            </w:pPr>
            <w:r>
              <w:rPr>
                <w:rFonts w:ascii="Calibri" w:hAnsi="Calibri"/>
                <w:b w:val="false"/>
                <w:bCs w:val="false"/>
                <w:sz w:val="20"/>
                <w:szCs w:val="20"/>
                <w:u w:val="none"/>
              </w:rPr>
              <w:t>Adoption of Annual Accounts</w:t>
            </w:r>
          </w:p>
        </w:tc>
      </w:tr>
      <w:tr>
        <w:trPr>
          <w:trHeight w:val="421" w:hRule="atLeast"/>
        </w:trPr>
        <w:tc>
          <w:tcPr>
            <w:tcW w:w="630" w:type="dxa"/>
            <w:tcBorders>
              <w:left w:val="single" w:sz="4" w:space="0" w:color="000000"/>
              <w:bottom w:val="single" w:sz="4" w:space="0" w:color="000000"/>
            </w:tcBorders>
            <w:shd w:fill="auto" w:val="clear"/>
          </w:tcPr>
          <w:p>
            <w:pPr>
              <w:pStyle w:val="Normal"/>
              <w:widowControl w:val="false"/>
              <w:rPr>
                <w:rFonts w:ascii="Calibri" w:hAnsi="Calibri"/>
              </w:rPr>
            </w:pPr>
            <w:r>
              <w:rPr>
                <w:rFonts w:ascii="Calibri" w:hAnsi="Calibri"/>
                <w:sz w:val="20"/>
                <w:szCs w:val="20"/>
              </w:rPr>
              <w:t>7.2</w:t>
            </w:r>
          </w:p>
        </w:tc>
        <w:tc>
          <w:tcPr>
            <w:tcW w:w="8489" w:type="dxa"/>
            <w:tcBorders>
              <w:left w:val="single" w:sz="4" w:space="0" w:color="000000"/>
              <w:bottom w:val="single" w:sz="4" w:space="0" w:color="000000"/>
              <w:right w:val="single" w:sz="4" w:space="0" w:color="000000"/>
            </w:tcBorders>
            <w:shd w:fill="auto" w:val="clear"/>
          </w:tcPr>
          <w:p>
            <w:pPr>
              <w:pStyle w:val="Heading1"/>
              <w:widowControl w:val="false"/>
              <w:jc w:val="left"/>
              <w:rPr>
                <w:rFonts w:ascii="Calibri" w:hAnsi="Calibri"/>
              </w:rPr>
            </w:pPr>
            <w:r>
              <w:rPr>
                <w:rFonts w:ascii="Calibri" w:hAnsi="Calibri"/>
                <w:b w:val="false"/>
                <w:bCs w:val="false"/>
                <w:sz w:val="20"/>
                <w:szCs w:val="20"/>
                <w:u w:val="none"/>
              </w:rPr>
              <w:t>Adoption of Financial Risk Assessment</w:t>
            </w:r>
          </w:p>
        </w:tc>
      </w:tr>
      <w:tr>
        <w:trPr>
          <w:trHeight w:val="421" w:hRule="atLeast"/>
        </w:trPr>
        <w:tc>
          <w:tcPr>
            <w:tcW w:w="630" w:type="dxa"/>
            <w:tcBorders>
              <w:left w:val="single" w:sz="4" w:space="0" w:color="000000"/>
              <w:bottom w:val="single" w:sz="4" w:space="0" w:color="000000"/>
            </w:tcBorders>
            <w:shd w:fill="auto" w:val="clear"/>
          </w:tcPr>
          <w:p>
            <w:pPr>
              <w:pStyle w:val="Normal"/>
              <w:widowControl w:val="false"/>
              <w:rPr>
                <w:rFonts w:ascii="Calibri" w:hAnsi="Calibri"/>
                <w:sz w:val="20"/>
                <w:szCs w:val="20"/>
              </w:rPr>
            </w:pPr>
            <w:r>
              <w:rPr>
                <w:rFonts w:ascii="Calibri" w:hAnsi="Calibri"/>
                <w:sz w:val="20"/>
                <w:szCs w:val="20"/>
              </w:rPr>
              <w:t>7.3</w:t>
            </w:r>
          </w:p>
        </w:tc>
        <w:tc>
          <w:tcPr>
            <w:tcW w:w="8489" w:type="dxa"/>
            <w:tcBorders>
              <w:left w:val="single" w:sz="4" w:space="0" w:color="000000"/>
              <w:bottom w:val="single" w:sz="4" w:space="0" w:color="000000"/>
              <w:right w:val="single" w:sz="4" w:space="0" w:color="000000"/>
            </w:tcBorders>
            <w:shd w:fill="auto" w:val="clear"/>
          </w:tcPr>
          <w:p>
            <w:pPr>
              <w:pStyle w:val="Heading1"/>
              <w:widowControl w:val="false"/>
              <w:jc w:val="left"/>
              <w:rPr>
                <w:rFonts w:ascii="Calibri" w:hAnsi="Calibri"/>
                <w:b w:val="false"/>
                <w:bCs w:val="false"/>
                <w:sz w:val="20"/>
                <w:szCs w:val="20"/>
                <w:u w:val="none"/>
              </w:rPr>
            </w:pPr>
            <w:r>
              <w:rPr>
                <w:rFonts w:ascii="Calibri" w:hAnsi="Calibri"/>
                <w:b w:val="false"/>
                <w:bCs w:val="false"/>
                <w:sz w:val="20"/>
                <w:szCs w:val="20"/>
                <w:u w:val="none"/>
              </w:rPr>
              <w:t>Adoption of Updated Asset register and Asset Risk Assessments</w:t>
            </w:r>
          </w:p>
        </w:tc>
      </w:tr>
      <w:tr>
        <w:trPr>
          <w:trHeight w:val="421" w:hRule="atLeast"/>
        </w:trPr>
        <w:tc>
          <w:tcPr>
            <w:tcW w:w="630" w:type="dxa"/>
            <w:tcBorders>
              <w:left w:val="single" w:sz="4" w:space="0" w:color="000000"/>
              <w:bottom w:val="single" w:sz="4" w:space="0" w:color="000000"/>
            </w:tcBorders>
            <w:shd w:fill="auto" w:val="clear"/>
          </w:tcPr>
          <w:p>
            <w:pPr>
              <w:pStyle w:val="Normal"/>
              <w:widowControl w:val="false"/>
              <w:rPr>
                <w:rFonts w:ascii="Calibri" w:hAnsi="Calibri"/>
                <w:sz w:val="20"/>
                <w:szCs w:val="20"/>
              </w:rPr>
            </w:pPr>
            <w:r>
              <w:rPr>
                <w:rFonts w:ascii="Calibri" w:hAnsi="Calibri"/>
                <w:sz w:val="20"/>
                <w:szCs w:val="20"/>
              </w:rPr>
              <w:t>7.4</w:t>
            </w:r>
          </w:p>
        </w:tc>
        <w:tc>
          <w:tcPr>
            <w:tcW w:w="8489" w:type="dxa"/>
            <w:tcBorders>
              <w:left w:val="single" w:sz="4" w:space="0" w:color="000000"/>
              <w:bottom w:val="single" w:sz="4" w:space="0" w:color="000000"/>
              <w:right w:val="single" w:sz="4" w:space="0" w:color="000000"/>
            </w:tcBorders>
            <w:shd w:fill="auto" w:val="clear"/>
          </w:tcPr>
          <w:p>
            <w:pPr>
              <w:pStyle w:val="Heading1"/>
              <w:widowControl w:val="false"/>
              <w:jc w:val="left"/>
              <w:rPr>
                <w:rFonts w:ascii="Calibri" w:hAnsi="Calibri"/>
                <w:b w:val="false"/>
                <w:bCs w:val="false"/>
                <w:sz w:val="20"/>
                <w:szCs w:val="20"/>
                <w:u w:val="none"/>
              </w:rPr>
            </w:pPr>
            <w:r>
              <w:rPr>
                <w:rFonts w:ascii="Calibri" w:hAnsi="Calibri"/>
                <w:b w:val="false"/>
                <w:bCs w:val="false"/>
                <w:sz w:val="20"/>
                <w:szCs w:val="20"/>
                <w:u w:val="none"/>
              </w:rPr>
              <w:t>Defibrillator maintenance</w:t>
            </w:r>
          </w:p>
        </w:tc>
      </w:tr>
      <w:tr>
        <w:trPr>
          <w:trHeight w:val="421" w:hRule="atLeast"/>
        </w:trPr>
        <w:tc>
          <w:tcPr>
            <w:tcW w:w="630" w:type="dxa"/>
            <w:tcBorders>
              <w:left w:val="single" w:sz="4" w:space="0" w:color="000000"/>
              <w:bottom w:val="single" w:sz="4" w:space="0" w:color="000000"/>
            </w:tcBorders>
            <w:shd w:fill="auto" w:val="clear"/>
          </w:tcPr>
          <w:p>
            <w:pPr>
              <w:pStyle w:val="Normal"/>
              <w:widowControl w:val="false"/>
              <w:rPr>
                <w:rFonts w:ascii="Calibri" w:hAnsi="Calibri"/>
              </w:rPr>
            </w:pPr>
            <w:r>
              <w:rPr>
                <w:rFonts w:ascii="Calibri" w:hAnsi="Calibri"/>
                <w:sz w:val="20"/>
                <w:szCs w:val="20"/>
              </w:rPr>
              <w:t>7.5</w:t>
            </w:r>
          </w:p>
        </w:tc>
        <w:tc>
          <w:tcPr>
            <w:tcW w:w="8489" w:type="dxa"/>
            <w:tcBorders>
              <w:left w:val="single" w:sz="4" w:space="0" w:color="000000"/>
              <w:bottom w:val="single" w:sz="4" w:space="0" w:color="000000"/>
              <w:right w:val="single" w:sz="4" w:space="0" w:color="000000"/>
            </w:tcBorders>
            <w:shd w:fill="auto" w:val="clear"/>
          </w:tcPr>
          <w:p>
            <w:pPr>
              <w:pStyle w:val="Heading1"/>
              <w:widowControl w:val="false"/>
              <w:jc w:val="left"/>
              <w:rPr>
                <w:rFonts w:ascii="Calibri" w:hAnsi="Calibri"/>
              </w:rPr>
            </w:pPr>
            <w:r>
              <w:rPr>
                <w:rFonts w:ascii="Calibri" w:hAnsi="Calibri"/>
                <w:b w:val="false"/>
                <w:bCs w:val="false"/>
                <w:sz w:val="20"/>
                <w:szCs w:val="20"/>
                <w:u w:val="none"/>
              </w:rPr>
              <w:t>Parish Questionnaire Update</w:t>
            </w:r>
          </w:p>
          <w:p>
            <w:pPr>
              <w:pStyle w:val="Normal"/>
              <w:widowControl w:val="false"/>
              <w:jc w:val="left"/>
              <w:rPr>
                <w:rFonts w:ascii="Calibri" w:hAnsi="Calibri"/>
                <w:b w:val="false"/>
                <w:bCs w:val="false"/>
                <w:sz w:val="20"/>
                <w:szCs w:val="20"/>
                <w:u w:val="none"/>
              </w:rPr>
            </w:pPr>
            <w:r>
              <w:rPr>
                <w:rFonts w:ascii="Calibri" w:hAnsi="Calibri"/>
                <w:b w:val="false"/>
                <w:bCs w:val="false"/>
                <w:sz w:val="20"/>
                <w:szCs w:val="20"/>
                <w:u w:val="none"/>
              </w:rPr>
            </w:r>
          </w:p>
        </w:tc>
      </w:tr>
      <w:tr>
        <w:trPr>
          <w:trHeight w:val="689" w:hRule="atLeast"/>
        </w:trPr>
        <w:tc>
          <w:tcPr>
            <w:tcW w:w="630" w:type="dxa"/>
            <w:tcBorders>
              <w:left w:val="single" w:sz="4" w:space="0" w:color="000000"/>
              <w:bottom w:val="single" w:sz="4" w:space="0" w:color="000000"/>
            </w:tcBorders>
            <w:shd w:fill="auto" w:val="clear"/>
          </w:tcPr>
          <w:p>
            <w:pPr>
              <w:pStyle w:val="Normal"/>
              <w:widowControl w:val="false"/>
              <w:rPr>
                <w:sz w:val="20"/>
                <w:szCs w:val="20"/>
              </w:rPr>
            </w:pPr>
            <w:r>
              <w:rPr>
                <w:rFonts w:ascii="Calibri" w:hAnsi="Calibri"/>
                <w:b/>
                <w:bCs/>
                <w:sz w:val="20"/>
                <w:szCs w:val="20"/>
              </w:rPr>
              <w:t>10</w:t>
            </w:r>
          </w:p>
        </w:tc>
        <w:tc>
          <w:tcPr>
            <w:tcW w:w="8489" w:type="dxa"/>
            <w:tcBorders>
              <w:left w:val="single" w:sz="4" w:space="0" w:color="000000"/>
              <w:bottom w:val="single" w:sz="4" w:space="0" w:color="000000"/>
              <w:right w:val="single" w:sz="4" w:space="0" w:color="000000"/>
            </w:tcBorders>
            <w:shd w:fill="auto" w:val="clear"/>
          </w:tcPr>
          <w:p>
            <w:pPr>
              <w:pStyle w:val="Heading1"/>
              <w:widowControl w:val="false"/>
              <w:jc w:val="left"/>
              <w:rPr>
                <w:sz w:val="20"/>
                <w:szCs w:val="20"/>
              </w:rPr>
            </w:pPr>
            <w:r>
              <w:rPr>
                <w:rFonts w:ascii="Calibri" w:hAnsi="Calibri"/>
                <w:sz w:val="20"/>
                <w:szCs w:val="20"/>
              </w:rPr>
              <w:t>Councillors Business Items for the next Meetings</w:t>
            </w:r>
          </w:p>
        </w:tc>
      </w:tr>
      <w:tr>
        <w:trPr/>
        <w:tc>
          <w:tcPr>
            <w:tcW w:w="630" w:type="dxa"/>
            <w:tcBorders>
              <w:left w:val="single" w:sz="4" w:space="0" w:color="000000"/>
              <w:bottom w:val="single" w:sz="4" w:space="0" w:color="000000"/>
            </w:tcBorders>
            <w:shd w:fill="auto" w:val="clear"/>
          </w:tcPr>
          <w:p>
            <w:pPr>
              <w:pStyle w:val="Normal"/>
              <w:widowControl w:val="false"/>
              <w:rPr>
                <w:rFonts w:ascii="Calibri" w:hAnsi="Calibri" w:cs="Calibri" w:asciiTheme="minorHAnsi" w:cstheme="minorHAnsi" w:hAnsiTheme="minorHAnsi"/>
                <w:b/>
                <w:sz w:val="20"/>
                <w:szCs w:val="20"/>
              </w:rPr>
            </w:pPr>
            <w:r>
              <w:rPr>
                <w:rFonts w:cs="Calibri" w:cstheme="minorHAnsi" w:ascii="Calibri" w:hAnsi="Calibri"/>
                <w:b/>
                <w:sz w:val="20"/>
                <w:szCs w:val="20"/>
              </w:rPr>
            </w:r>
          </w:p>
        </w:tc>
        <w:tc>
          <w:tcPr>
            <w:tcW w:w="8489" w:type="dxa"/>
            <w:tcBorders>
              <w:left w:val="single" w:sz="4" w:space="0" w:color="000000"/>
              <w:bottom w:val="single" w:sz="4" w:space="0" w:color="000000"/>
              <w:right w:val="single" w:sz="4" w:space="0" w:color="000000"/>
            </w:tcBorders>
            <w:shd w:fill="auto" w:val="clear"/>
          </w:tcPr>
          <w:p>
            <w:pPr>
              <w:pStyle w:val="Heading1"/>
              <w:widowControl w:val="false"/>
              <w:rPr>
                <w:sz w:val="20"/>
                <w:szCs w:val="20"/>
              </w:rPr>
            </w:pPr>
            <w:r>
              <w:rPr>
                <w:rFonts w:cs="Calibri" w:ascii="Calibri" w:hAnsi="Calibri" w:asciiTheme="minorHAnsi" w:cstheme="minorHAnsi" w:hAnsiTheme="minorHAnsi"/>
                <w:sz w:val="20"/>
                <w:szCs w:val="20"/>
              </w:rPr>
              <w:t>Dates for future monthly meetings</w:t>
            </w:r>
          </w:p>
          <w:p>
            <w:pPr>
              <w:pStyle w:val="Normal"/>
              <w:widowControl w:val="false"/>
              <w:jc w:val="left"/>
              <w:rPr>
                <w:sz w:val="20"/>
                <w:szCs w:val="20"/>
              </w:rPr>
            </w:pPr>
            <w:r>
              <w:rPr>
                <w:rFonts w:cs="Calibri" w:ascii="Calibri" w:hAnsi="Calibri" w:asciiTheme="minorHAnsi" w:cstheme="minorHAnsi" w:hAnsiTheme="minorHAnsi"/>
                <w:sz w:val="20"/>
                <w:szCs w:val="20"/>
              </w:rPr>
              <w:t>TBA</w:t>
            </w:r>
          </w:p>
        </w:tc>
      </w:tr>
    </w:tbl>
    <w:p>
      <w:pPr>
        <w:pStyle w:val="Normal"/>
        <w:rPr>
          <w:rFonts w:ascii="Calibri" w:hAnsi="Calibri" w:cs="Calibri"/>
          <w:sz w:val="24"/>
          <w:szCs w:val="24"/>
        </w:rPr>
      </w:pPr>
      <w:r>
        <w:rPr>
          <w:rFonts w:cs="Calibri" w:ascii="Calibri" w:hAnsi="Calibri"/>
          <w:sz w:val="24"/>
          <w:szCs w:val="24"/>
        </w:rPr>
      </w:r>
    </w:p>
    <w:p>
      <w:pPr>
        <w:pStyle w:val="Normal"/>
        <w:rPr>
          <w:rFonts w:ascii="Calibri" w:hAnsi="Calibri" w:cs="Calibri"/>
          <w:sz w:val="24"/>
          <w:szCs w:val="24"/>
        </w:rPr>
      </w:pPr>
      <w:r>
        <w:rPr>
          <w:rFonts w:cs="Calibri" w:ascii="Calibri" w:hAnsi="Calibri"/>
          <w:sz w:val="24"/>
          <w:szCs w:val="24"/>
        </w:rPr>
        <w:t xml:space="preserve">Email: </w:t>
      </w:r>
      <w:hyperlink r:id="rId2">
        <w:r>
          <w:rPr>
            <w:rStyle w:val="Hyperlink"/>
            <w:rFonts w:cs="Calibri" w:ascii="Calibri" w:hAnsi="Calibri"/>
            <w:sz w:val="24"/>
            <w:szCs w:val="24"/>
          </w:rPr>
          <w:t>wighillpc@hotmail.co.uk</w:t>
        </w:r>
      </w:hyperlink>
      <w:r>
        <w:rPr>
          <w:rFonts w:cs="Calibri" w:ascii="Calibri" w:hAnsi="Calibri"/>
          <w:sz w:val="24"/>
          <w:szCs w:val="24"/>
        </w:rPr>
        <w:t xml:space="preserve">   Website: </w:t>
      </w:r>
      <w:hyperlink r:id="rId3">
        <w:r>
          <w:rPr>
            <w:rStyle w:val="Hyperlink"/>
            <w:rFonts w:cs="Calibri" w:ascii="Calibri" w:hAnsi="Calibri"/>
            <w:sz w:val="24"/>
            <w:szCs w:val="24"/>
          </w:rPr>
          <w:t>www.wighill</w:t>
        </w:r>
        <w:r>
          <w:rPr>
            <w:rStyle w:val="Hyperlink"/>
            <w:rFonts w:cs="Calibri" w:ascii="Calibri" w:hAnsi="Calibri"/>
            <w:color w:val="0000FF"/>
            <w:sz w:val="24"/>
            <w:szCs w:val="24"/>
          </w:rPr>
          <w:t>-pc.org.uk</w:t>
        </w:r>
      </w:hyperlink>
      <w:r>
        <w:rPr>
          <w:rFonts w:cs="Calibri" w:ascii="Calibri" w:hAnsi="Calibri"/>
          <w:color w:val="0000FF"/>
          <w:sz w:val="24"/>
          <w:szCs w:val="24"/>
        </w:rPr>
        <w:t xml:space="preserve"> </w:t>
      </w:r>
    </w:p>
    <w:p>
      <w:pPr>
        <w:pStyle w:val="Normal"/>
        <w:rPr>
          <w:rFonts w:ascii="Calibri" w:hAnsi="Calibri" w:cs="Calibri"/>
          <w:sz w:val="24"/>
          <w:szCs w:val="24"/>
        </w:rPr>
      </w:pPr>
      <w:r>
        <w:rPr>
          <w:rFonts w:cs="Calibri" w:ascii="Calibri" w:hAnsi="Calibri"/>
          <w:sz w:val="24"/>
          <w:szCs w:val="24"/>
        </w:rPr>
        <w:drawing>
          <wp:anchor behindDoc="0" distT="0" distB="0" distL="0" distR="0" simplePos="0" locked="0" layoutInCell="0" allowOverlap="1" relativeHeight="2">
            <wp:simplePos x="0" y="0"/>
            <wp:positionH relativeFrom="column">
              <wp:posOffset>52705</wp:posOffset>
            </wp:positionH>
            <wp:positionV relativeFrom="paragraph">
              <wp:posOffset>146050</wp:posOffset>
            </wp:positionV>
            <wp:extent cx="1773555" cy="52451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4"/>
                    <a:stretch>
                      <a:fillRect/>
                    </a:stretch>
                  </pic:blipFill>
                  <pic:spPr bwMode="auto">
                    <a:xfrm>
                      <a:off x="0" y="0"/>
                      <a:ext cx="1773555" cy="524510"/>
                    </a:xfrm>
                    <a:prstGeom prst="rect">
                      <a:avLst/>
                    </a:prstGeom>
                  </pic:spPr>
                </pic:pic>
              </a:graphicData>
            </a:graphic>
          </wp:anchor>
        </w:drawing>
      </w:r>
    </w:p>
    <w:p>
      <w:pPr>
        <w:pStyle w:val="Normal"/>
        <w:rPr>
          <w:rFonts w:ascii="Calibri" w:hAnsi="Calibri" w:cs="Calibri"/>
          <w:sz w:val="20"/>
        </w:rPr>
      </w:pPr>
      <w:r>
        <w:rPr>
          <w:rFonts w:cs="Calibri" w:ascii="Calibri" w:hAnsi="Calibri"/>
          <w:sz w:val="24"/>
          <w:szCs w:val="24"/>
        </w:rPr>
        <w:t xml:space="preserve">L T I Grant </w:t>
      </w:r>
    </w:p>
    <w:p>
      <w:pPr>
        <w:pStyle w:val="Normal"/>
        <w:rPr>
          <w:rFonts w:ascii="Calibri" w:hAnsi="Calibri" w:cs="Calibri"/>
          <w:sz w:val="24"/>
          <w:szCs w:val="24"/>
        </w:rPr>
      </w:pPr>
      <w:r>
        <w:rPr>
          <w:rFonts w:cs="Calibri" w:ascii="Calibri" w:hAnsi="Calibri"/>
          <w:b/>
          <w:bCs/>
          <w:sz w:val="24"/>
          <w:szCs w:val="24"/>
        </w:rPr>
        <w:t>Clerk to the Parish Council</w:t>
      </w:r>
    </w:p>
    <w:sectPr>
      <w:headerReference w:type="even" r:id="rId5"/>
      <w:headerReference w:type="default" r:id="rId6"/>
      <w:headerReference w:type="first" r:id="rId7"/>
      <w:footerReference w:type="even" r:id="rId8"/>
      <w:footerReference w:type="default" r:id="rId9"/>
      <w:footerReference w:type="first" r:id="rId10"/>
      <w:type w:val="nextPage"/>
      <w:pgSz w:w="11906" w:h="16838"/>
      <w:pgMar w:left="993" w:right="1133" w:gutter="0" w:header="720" w:top="777" w:footer="720" w:bottom="777"/>
      <w:pgNumType w:fmt="decimal"/>
      <w:formProt w:val="false"/>
      <w:textDirection w:val="lrTb"/>
      <w:docGrid w:type="default" w:linePitch="24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Arial">
    <w:charset w:val="01"/>
    <w:family w:val="swiss"/>
    <w:pitch w:val="default"/>
  </w:font>
  <w:font w:name="OpenSymbol">
    <w:altName w:val="Arial Unicode MS"/>
    <w:charset w:val="01"/>
    <w:family w:val="swiss"/>
    <w:pitch w:val="default"/>
  </w:font>
  <w:font w:name="Calibri">
    <w:charset w:val="01"/>
    <w:family w:val="swiss"/>
    <w:pitch w:val="default"/>
  </w:font>
  <w:font w:name="Calibri">
    <w:charset w:val="00"/>
    <w:family w:val="swiss"/>
    <w:pitch w:val="default"/>
  </w:font>
  <w:font w:name="Wingdings">
    <w:charset w:val="02"/>
    <w:family w:val="auto"/>
    <w:pitch w:val="variable"/>
  </w:font>
  <w:font w:name="Courier New">
    <w:charset w:val="01"/>
    <w:family w:val="modern"/>
    <w:pitch w:val="fixed"/>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rFonts w:ascii="Calibri" w:hAnsi="Calibri"/>
        <w:sz w:val="24"/>
        <w:szCs w:val="24"/>
      </w:rPr>
    </w:pPr>
    <w:r>
      <w:rPr>
        <w:rFonts w:ascii="Calibri" w:hAnsi="Calibri"/>
        <w:sz w:val="24"/>
        <w:szCs w:val="24"/>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rFonts w:ascii="Calibri" w:hAnsi="Calibri"/>
        <w:sz w:val="24"/>
        <w:szCs w:val="24"/>
      </w:rPr>
    </w:pPr>
    <w:r>
      <w:rPr>
        <w:rFonts w:ascii="Calibri" w:hAnsi="Calibri"/>
        <w:sz w:val="24"/>
        <w:szCs w:val="24"/>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pPr>
      <w:widowControl/>
      <w:suppressAutoHyphens w:val="true"/>
      <w:bidi w:val="0"/>
      <w:spacing w:before="0" w:after="0"/>
      <w:jc w:val="left"/>
    </w:pPr>
    <w:rPr>
      <w:rFonts w:ascii="Arial" w:hAnsi="Arial" w:eastAsia="Times New Roman" w:cs="Times New Roman"/>
      <w:color w:val="00000A"/>
      <w:kern w:val="0"/>
      <w:sz w:val="22"/>
      <w:szCs w:val="20"/>
      <w:lang w:val="en-GB" w:eastAsia="en-US" w:bidi="ar-SA"/>
    </w:rPr>
  </w:style>
  <w:style w:type="paragraph" w:styleId="Heading1">
    <w:name w:val="Heading 1"/>
    <w:basedOn w:val="Normal"/>
    <w:next w:val="Normal"/>
    <w:qFormat/>
    <w:pPr>
      <w:keepNext w:val="true"/>
      <w:outlineLvl w:val="0"/>
    </w:pPr>
    <w:rPr>
      <w:b/>
      <w:u w:val="single"/>
    </w:rPr>
  </w:style>
  <w:style w:type="paragraph" w:styleId="Heading2">
    <w:name w:val="Heading 2"/>
    <w:basedOn w:val="Normal"/>
    <w:next w:val="Normal"/>
    <w:qFormat/>
    <w:pPr>
      <w:keepNext w:val="true"/>
      <w:outlineLvl w:val="1"/>
    </w:pPr>
    <w:rPr>
      <w:b/>
    </w:rPr>
  </w:style>
  <w:style w:type="paragraph" w:styleId="Heading3">
    <w:name w:val="Heading 3"/>
    <w:basedOn w:val="Normal"/>
    <w:next w:val="Normal"/>
    <w:qFormat/>
    <w:pPr>
      <w:keepNext w:val="true"/>
      <w:outlineLvl w:val="2"/>
    </w:pPr>
    <w:rPr>
      <w:b/>
      <w:bCs/>
      <w:sz w:val="20"/>
      <w:u w:val="single"/>
    </w:rPr>
  </w:style>
  <w:style w:type="character" w:styleId="DefaultParagraphFont" w:default="1">
    <w:name w:val="Default Paragraph Font"/>
    <w:uiPriority w:val="1"/>
    <w:semiHidden/>
    <w:unhideWhenUsed/>
    <w:qFormat/>
    <w:rPr/>
  </w:style>
  <w:style w:type="character" w:styleId="Hyperlink" w:customStyle="1">
    <w:name w:val="Hyperlink"/>
    <w:rPr>
      <w:color w:val="0000FF"/>
      <w:u w:val="single"/>
    </w:rPr>
  </w:style>
  <w:style w:type="character" w:styleId="Bullets">
    <w:name w:val="Bullets"/>
    <w:qFormat/>
    <w:rPr>
      <w:rFonts w:ascii="OpenSymbol" w:hAnsi="OpenSymbol" w:eastAsia="OpenSymbol" w:cs="OpenSymbol"/>
    </w:rPr>
  </w:style>
  <w:style w:type="character" w:styleId="PlainTextChar">
    <w:name w:val="Plain Text Char"/>
    <w:basedOn w:val="DefaultParagraphFont"/>
    <w:qFormat/>
    <w:rPr>
      <w:sz w:val="21"/>
      <w:szCs w:val="21"/>
    </w:rPr>
  </w:style>
  <w:style w:type="paragraph" w:styleId="Heading">
    <w:name w:val="Heading"/>
    <w:basedOn w:val="Normal"/>
    <w:next w:val="BodyText"/>
    <w:qFormat/>
    <w:pPr>
      <w:keepNext w:val="true"/>
      <w:spacing w:before="240" w:after="120"/>
    </w:pPr>
    <w:rPr>
      <w:rFonts w:ascii="Calibri" w:hAnsi="Calibri"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Calibri" w:hAnsi="Calibri" w:cs="Arial"/>
    </w:rPr>
  </w:style>
  <w:style w:type="paragraph" w:styleId="Caption">
    <w:name w:val="Caption"/>
    <w:basedOn w:val="Normal"/>
    <w:qFormat/>
    <w:pPr>
      <w:suppressLineNumbers/>
      <w:spacing w:before="120" w:after="120"/>
    </w:pPr>
    <w:rPr>
      <w:rFonts w:ascii="Calibri" w:hAnsi="Calibri" w:cs="Arial"/>
      <w:i/>
      <w:iCs/>
      <w:sz w:val="24"/>
      <w:szCs w:val="24"/>
    </w:rPr>
  </w:style>
  <w:style w:type="paragraph" w:styleId="Index">
    <w:name w:val="Index"/>
    <w:basedOn w:val="Normal"/>
    <w:qFormat/>
    <w:pPr>
      <w:suppressLineNumbers/>
    </w:pPr>
    <w:rPr>
      <w:rFonts w:ascii="Calibri" w:hAnsi="Calibri" w:cs="Arial"/>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NormalTable">
    <w:name w:val="Normal Table"/>
    <w:qFormat/>
    <w:pPr>
      <w:widowControl/>
      <w:suppressAutoHyphens w:val="true"/>
      <w:bidi w:val="0"/>
      <w:spacing w:before="0" w:after="0"/>
      <w:jc w:val="left"/>
      <w:textAlignment w:val="auto"/>
    </w:pPr>
    <w:rPr>
      <w:rFonts w:ascii="Calibri" w:hAnsi="Calibri" w:eastAsia="Calibri" w:cs="Times New Roman"/>
      <w:color w:val="auto"/>
      <w:kern w:val="2"/>
      <w:sz w:val="22"/>
      <w:szCs w:val="22"/>
      <w:lang w:val="en-GB" w:eastAsia="en-US" w:bidi="ar-SA"/>
    </w:rPr>
  </w:style>
  <w:style w:type="paragraph" w:styleId="PlainText">
    <w:name w:val="Plain Text"/>
    <w:basedOn w:val="Normal"/>
    <w:qFormat/>
    <w:pPr/>
    <w:rPr>
      <w:szCs w:val="21"/>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wighillpc@hotmail.co.uk" TargetMode="External"/><Relationship Id="rId3" Type="http://schemas.openxmlformats.org/officeDocument/2006/relationships/hyperlink" Target="http://www.wighill-pc.org.uk/" TargetMode="Externa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oter" Target="footer3.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2DD7EB-1BEE-4175-9422-0007070A0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6175</TotalTime>
  <Application>LibreOffice/7.6.6.3$Windows_X86_64 LibreOffice_project/d97b2716a9a4a2ce1391dee1765565ea469b0ae7</Application>
  <AppVersion>15.0000</AppVersion>
  <Pages>2</Pages>
  <Words>259</Words>
  <Characters>1321</Characters>
  <CharactersWithSpaces>1528</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2015-04-28T10:21:00Z</dcterms:created>
  <dc:creator>the grants</dc:creator>
  <dc:description/>
  <dc:language>en-GB</dc:language>
  <cp:lastModifiedBy/>
  <cp:lastPrinted>2023-05-11T13:02:55Z</cp:lastPrinted>
  <dcterms:modified xsi:type="dcterms:W3CDTF">2024-04-13T09:36:24Z</dcterms:modified>
  <cp:revision>332</cp:revision>
  <dc:subject/>
  <dc:title>Bilton in Ainsty With Bickerton Parish Council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