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end="-58"/>
        <w:jc w:val="center"/>
        <w:rPr>
          <w:rFonts w:ascii="DejaVu Sans" w:hAnsi="DejaVu Sans"/>
          <w:sz w:val="28"/>
          <w:szCs w:val="28"/>
        </w:rPr>
      </w:pPr>
      <w:r>
        <w:rPr>
          <w:rFonts w:cs="Calibri" w:ascii="DejaVu Sans" w:hAnsi="DejaVu Sans"/>
          <w:b/>
          <w:sz w:val="28"/>
          <w:szCs w:val="28"/>
          <w:u w:val="single"/>
        </w:rPr>
        <w:t xml:space="preserve"> </w:t>
      </w:r>
      <w:r>
        <w:rPr>
          <w:rFonts w:cs="Calibri" w:ascii="DejaVu Sans" w:hAnsi="DejaVu Sans"/>
          <w:b/>
          <w:sz w:val="28"/>
          <w:szCs w:val="28"/>
          <w:u w:val="single"/>
        </w:rPr>
        <w:t>Healaugh and Catterton Parish Council</w:t>
      </w:r>
    </w:p>
    <w:p>
      <w:pPr>
        <w:pStyle w:val="Normal"/>
        <w:ind w:hanging="0" w:end="-58"/>
        <w:jc w:val="center"/>
        <w:rPr>
          <w:rFonts w:ascii="DejaVu Sans" w:hAnsi="DejaVu Sans"/>
          <w:sz w:val="28"/>
          <w:szCs w:val="28"/>
        </w:rPr>
      </w:pPr>
      <w:r>
        <w:rPr>
          <w:rFonts w:cs="Calibri" w:ascii="DejaVu Sans" w:hAnsi="DejaVu Sans"/>
          <w:b/>
          <w:sz w:val="28"/>
          <w:szCs w:val="28"/>
          <w:u w:val="single"/>
        </w:rPr>
        <w:t>To be held in Healaugh Memorial Hall on Monday 24 March 2025 at 7.00 pm</w:t>
      </w:r>
      <w:r>
        <w:rPr>
          <w:rFonts w:cs="Calibri" w:ascii="DejaVu Sans" w:hAnsi="DejaVu Sans"/>
          <w:b/>
          <w:color w:val="FF0000"/>
          <w:sz w:val="28"/>
          <w:szCs w:val="28"/>
          <w:u w:val="single"/>
        </w:rPr>
        <w:t xml:space="preserve"> </w:t>
      </w:r>
    </w:p>
    <w:p>
      <w:pPr>
        <w:pStyle w:val="Normal"/>
        <w:ind w:hanging="0" w:end="-58"/>
        <w:jc w:val="center"/>
        <w:rPr>
          <w:rFonts w:ascii="DejaVu Sans" w:hAnsi="DejaVu Sans" w:cs="Calibri"/>
          <w:b/>
          <w:color w:val="000000"/>
          <w:sz w:val="24"/>
          <w:szCs w:val="24"/>
          <w:u w:val="single"/>
        </w:rPr>
      </w:pPr>
      <w:r>
        <w:rPr>
          <w:rFonts w:cs="Calibri" w:ascii="DejaVu Sans" w:hAnsi="DejaVu Sans"/>
          <w:b/>
          <w:color w:val="000000"/>
          <w:sz w:val="24"/>
          <w:szCs w:val="24"/>
          <w:u w:val="single"/>
        </w:rPr>
      </w:r>
    </w:p>
    <w:p>
      <w:pPr>
        <w:pStyle w:val="Normal"/>
        <w:ind w:hanging="0" w:end="-58"/>
        <w:jc w:val="start"/>
        <w:rPr>
          <w:rFonts w:ascii="DejaVu Sans" w:hAnsi="DejaVu Sans" w:cs="Calibri"/>
          <w:b/>
          <w:bCs/>
          <w:color w:val="000000"/>
          <w:sz w:val="24"/>
          <w:szCs w:val="24"/>
          <w:u w:val="none"/>
        </w:rPr>
      </w:pPr>
      <w:r>
        <w:rPr>
          <w:rFonts w:cs="Calibri" w:ascii="DejaVu Sans" w:hAnsi="DejaVu Sans"/>
          <w:b/>
          <w:bCs/>
          <w:color w:val="000000"/>
          <w:sz w:val="24"/>
          <w:szCs w:val="24"/>
          <w:u w:val="none"/>
        </w:rPr>
        <w:t>Prior to the meeting commencing under standing orders, the Clerk will update Councillors on the current position with the Parish Council and changes implemented since July 2024.</w:t>
      </w:r>
    </w:p>
    <w:p>
      <w:pPr>
        <w:pStyle w:val="Normal"/>
        <w:ind w:hanging="0" w:end="-58"/>
        <w:jc w:val="start"/>
        <w:rPr>
          <w:rFonts w:ascii="DejaVu Sans" w:hAnsi="DejaVu Sans" w:cs="Calibri"/>
          <w:b/>
          <w:bCs/>
          <w:color w:val="000000"/>
          <w:sz w:val="24"/>
          <w:szCs w:val="24"/>
          <w:u w:val="none"/>
        </w:rPr>
      </w:pPr>
      <w:r>
        <w:rPr>
          <w:rFonts w:cs="Calibri" w:ascii="DejaVu Sans" w:hAnsi="DejaVu Sans"/>
          <w:b/>
          <w:bCs/>
          <w:color w:val="000000"/>
          <w:sz w:val="24"/>
          <w:szCs w:val="24"/>
          <w:u w:val="none"/>
        </w:rPr>
      </w:r>
    </w:p>
    <w:tbl>
      <w:tblPr>
        <w:tblW w:w="9060" w:type="dxa"/>
        <w:jc w:val="start"/>
        <w:tblInd w:w="825" w:type="dxa"/>
        <w:tblLayout w:type="fixed"/>
        <w:tblCellMar>
          <w:top w:w="55" w:type="dxa"/>
          <w:start w:w="108" w:type="dxa"/>
          <w:bottom w:w="55" w:type="dxa"/>
          <w:end w:w="108" w:type="dxa"/>
        </w:tblCellMar>
        <w:tblLook w:val="0000" w:noHBand="0" w:noVBand="0" w:firstColumn="0" w:lastRow="0" w:lastColumn="0" w:firstRow="0"/>
      </w:tblPr>
      <w:tblGrid>
        <w:gridCol w:w="720"/>
        <w:gridCol w:w="8339"/>
      </w:tblGrid>
      <w:tr>
        <w:trPr/>
        <w:tc>
          <w:tcPr>
            <w:tcW w:w="720" w:type="dxa"/>
            <w:tcBorders>
              <w:top w:val="single" w:sz="4" w:space="0" w:color="000000"/>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b/>
                <w:sz w:val="24"/>
                <w:szCs w:val="24"/>
              </w:rPr>
              <w:t>1.</w:t>
            </w:r>
          </w:p>
        </w:tc>
        <w:tc>
          <w:tcPr>
            <w:tcW w:w="8339" w:type="dxa"/>
            <w:tcBorders>
              <w:top w:val="single" w:sz="4" w:space="0" w:color="000000"/>
              <w:start w:val="single" w:sz="4" w:space="0" w:color="000000"/>
              <w:bottom w:val="single" w:sz="4" w:space="0" w:color="000000"/>
              <w:end w:val="single" w:sz="4" w:space="0" w:color="000000"/>
            </w:tcBorders>
            <w:shd w:fill="auto" w:val="clear"/>
          </w:tcPr>
          <w:p>
            <w:pPr>
              <w:pStyle w:val="Heading1"/>
              <w:widowControl w:val="false"/>
              <w:rPr>
                <w:rFonts w:ascii="DejaVu Sans" w:hAnsi="DejaVu Sans"/>
              </w:rPr>
            </w:pPr>
            <w:r>
              <w:rPr>
                <w:rFonts w:cs="Calibri" w:ascii="DejaVu Sans" w:hAnsi="DejaVu Sans" w:cstheme="minorHAnsi"/>
                <w:sz w:val="24"/>
                <w:szCs w:val="24"/>
              </w:rPr>
              <w:t>Apologies for Absence</w:t>
            </w:r>
          </w:p>
          <w:p>
            <w:pPr>
              <w:pStyle w:val="Normal"/>
              <w:widowControl w:val="false"/>
              <w:rPr>
                <w:rFonts w:ascii="DejaVu Sans" w:hAnsi="DejaVu Sans"/>
                <w:sz w:val="24"/>
                <w:szCs w:val="24"/>
              </w:rPr>
            </w:pPr>
            <w:r>
              <w:rPr>
                <w:rFonts w:ascii="DejaVu Sans" w:hAnsi="DejaVu Sans"/>
                <w:sz w:val="24"/>
                <w:szCs w:val="24"/>
              </w:rPr>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b/>
                <w:sz w:val="24"/>
                <w:szCs w:val="24"/>
              </w:rPr>
              <w:t>2.</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cs="Calibri" w:ascii="DejaVu Sans" w:hAnsi="DejaVu Sans" w:cstheme="minorHAnsi"/>
                <w:b/>
                <w:sz w:val="24"/>
                <w:szCs w:val="24"/>
                <w:u w:val="single"/>
              </w:rPr>
              <w:t>Public Questions and Statements</w:t>
            </w:r>
          </w:p>
          <w:p>
            <w:pPr>
              <w:pStyle w:val="Normal"/>
              <w:widowControl w:val="false"/>
              <w:rPr>
                <w:rFonts w:ascii="DejaVu Sans" w:hAnsi="DejaVu Sans"/>
              </w:rPr>
            </w:pPr>
            <w:r>
              <w:rPr>
                <w:rFonts w:cs="Calibri" w:ascii="DejaVu Sans" w:hAnsi="DejaVu Sans" w:cstheme="minorHAnsi"/>
                <w:sz w:val="24"/>
                <w:szCs w:val="24"/>
              </w:rPr>
              <w:t>Members of the public may ask questions or make statements on the business of the Parish Council. Notice of the question or statement should be given to the Clerk seven  days prior to the meeting.  At the discretion of the Chairman, questions or statements may be made at shorter notice.  No member of the public may speak for more than three minutes, or for any other part of the meeting.  The maximum time allowed for this part of the meeting is 15 minutes.</w:t>
            </w:r>
          </w:p>
          <w:p>
            <w:pPr>
              <w:pStyle w:val="Normal"/>
              <w:widowControl w:val="false"/>
              <w:rPr>
                <w:rFonts w:ascii="DejaVu Sans" w:hAnsi="DejaVu Sans" w:cs="Calibri" w:cstheme="minorHAnsi"/>
                <w:sz w:val="24"/>
                <w:szCs w:val="24"/>
              </w:rPr>
            </w:pPr>
            <w:r>
              <w:rPr>
                <w:rFonts w:cs="Calibri" w:cstheme="minorHAnsi" w:ascii="DejaVu Sans" w:hAnsi="DejaVu Sans"/>
                <w:sz w:val="24"/>
                <w:szCs w:val="24"/>
              </w:rPr>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b/>
                <w:bCs/>
                <w:sz w:val="24"/>
                <w:szCs w:val="24"/>
                <w:u w:val="none"/>
              </w:rPr>
              <w:t>3.</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rPr>
                <w:rFonts w:ascii="DejaVu Sans" w:hAnsi="DejaVu Sans"/>
              </w:rPr>
            </w:pPr>
            <w:r>
              <w:rPr>
                <w:rFonts w:ascii="DejaVu Sans" w:hAnsi="DejaVu Sans"/>
                <w:b/>
                <w:bCs/>
                <w:sz w:val="24"/>
                <w:szCs w:val="24"/>
                <w:u w:val="single"/>
              </w:rPr>
              <w:t>Minutes of the Meeting Held on 8 July 2024</w:t>
            </w:r>
          </w:p>
          <w:p>
            <w:pPr>
              <w:pStyle w:val="Normal"/>
              <w:widowControl w:val="false"/>
              <w:rPr>
                <w:rFonts w:ascii="DejaVu Sans" w:hAnsi="DejaVu Sans"/>
              </w:rPr>
            </w:pPr>
            <w:r>
              <w:rPr>
                <w:rFonts w:ascii="DejaVu Sans" w:hAnsi="DejaVu Sans"/>
              </w:rPr>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b/>
                <w:bCs/>
                <w:sz w:val="24"/>
                <w:szCs w:val="24"/>
                <w:u w:val="none"/>
              </w:rPr>
              <w:t>4.</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rPr>
                <w:rFonts w:ascii="DejaVu Sans" w:hAnsi="DejaVu Sans"/>
              </w:rPr>
            </w:pPr>
            <w:r>
              <w:rPr>
                <w:rFonts w:ascii="DejaVu Sans" w:hAnsi="DejaVu Sans"/>
                <w:b/>
                <w:bCs/>
                <w:sz w:val="24"/>
                <w:szCs w:val="24"/>
                <w:u w:val="single"/>
              </w:rPr>
              <w:t>Highway Matters</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b w:val="false"/>
                <w:bCs w:val="false"/>
                <w:sz w:val="24"/>
                <w:szCs w:val="24"/>
                <w:u w:val="none"/>
              </w:rPr>
              <w:t>4.1</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numPr>
                <w:ilvl w:val="0"/>
                <w:numId w:val="6"/>
              </w:numPr>
              <w:rPr>
                <w:rFonts w:ascii="DejaVu Sans" w:hAnsi="DejaVu Sans"/>
                <w:b w:val="false"/>
                <w:bCs w:val="false"/>
                <w:u w:val="none"/>
              </w:rPr>
            </w:pPr>
            <w:r>
              <w:rPr>
                <w:rFonts w:ascii="DejaVu Sans" w:hAnsi="DejaVu Sans"/>
                <w:b w:val="false"/>
                <w:bCs w:val="false"/>
                <w:u w:val="none"/>
              </w:rPr>
              <w:t>None</w:t>
            </w:r>
          </w:p>
          <w:p>
            <w:pPr>
              <w:pStyle w:val="Normal"/>
              <w:widowControl w:val="false"/>
              <w:rPr>
                <w:rFonts w:ascii="DejaVu Sans" w:hAnsi="DejaVu Sans"/>
                <w:b w:val="false"/>
                <w:bCs w:val="false"/>
                <w:u w:val="none"/>
              </w:rPr>
            </w:pPr>
            <w:r>
              <w:rPr>
                <w:rFonts w:ascii="DejaVu Sans" w:hAnsi="DejaVu Sans"/>
                <w:b w:val="false"/>
                <w:bCs w:val="false"/>
                <w:u w:val="none"/>
              </w:rPr>
            </w:r>
          </w:p>
        </w:tc>
      </w:tr>
      <w:tr>
        <w:trPr>
          <w:trHeight w:val="395"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b/>
                <w:bCs/>
                <w:sz w:val="24"/>
                <w:szCs w:val="24"/>
                <w:u w:val="none"/>
              </w:rPr>
              <w:t>5.</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b/>
                <w:bCs/>
                <w:sz w:val="24"/>
                <w:szCs w:val="24"/>
                <w:u w:val="single"/>
              </w:rPr>
              <w:t>Police Matters</w:t>
            </w:r>
          </w:p>
        </w:tc>
      </w:tr>
      <w:tr>
        <w:trPr>
          <w:trHeight w:val="395"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b w:val="false"/>
                <w:bCs w:val="false"/>
                <w:sz w:val="24"/>
                <w:szCs w:val="24"/>
                <w:u w:val="none"/>
              </w:rPr>
              <w:t>5.1</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b w:val="false"/>
                <w:bCs w:val="false"/>
                <w:sz w:val="24"/>
                <w:szCs w:val="24"/>
                <w:u w:val="none"/>
              </w:rPr>
              <w:t>NY Police Involvement in PC issues -None</w:t>
            </w:r>
          </w:p>
          <w:p>
            <w:pPr>
              <w:pStyle w:val="Normal"/>
              <w:widowControl w:val="false"/>
              <w:rPr>
                <w:rFonts w:ascii="DejaVu Sans" w:hAnsi="DejaVu Sans"/>
                <w:b w:val="false"/>
                <w:bCs w:val="false"/>
                <w:sz w:val="24"/>
                <w:szCs w:val="24"/>
                <w:u w:val="none"/>
              </w:rPr>
            </w:pPr>
            <w:r>
              <w:rPr>
                <w:rFonts w:ascii="DejaVu Sans" w:hAnsi="DejaVu Sans"/>
                <w:b w:val="false"/>
                <w:bCs w:val="false"/>
                <w:sz w:val="24"/>
                <w:szCs w:val="24"/>
                <w:u w:val="none"/>
              </w:rPr>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b/>
                <w:sz w:val="24"/>
                <w:szCs w:val="24"/>
              </w:rPr>
              <w:t>6</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rPr>
                <w:rFonts w:ascii="DejaVu Sans" w:hAnsi="DejaVu Sans"/>
              </w:rPr>
            </w:pPr>
            <w:r>
              <w:rPr>
                <w:rFonts w:cs="Calibri" w:ascii="DejaVu Sans" w:hAnsi="DejaVu Sans" w:cstheme="minorHAnsi"/>
                <w:sz w:val="24"/>
                <w:szCs w:val="24"/>
              </w:rPr>
              <w:t>Financial Matters</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6.1</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Funds Received</w:t>
            </w:r>
          </w:p>
          <w:p>
            <w:pPr>
              <w:pStyle w:val="Normal"/>
              <w:widowControl w:val="false"/>
              <w:numPr>
                <w:ilvl w:val="0"/>
                <w:numId w:val="1"/>
              </w:numPr>
              <w:rPr>
                <w:rFonts w:ascii="DejaVu Sans" w:hAnsi="DejaVu Sans"/>
              </w:rPr>
            </w:pPr>
            <w:r>
              <w:rPr>
                <w:rFonts w:cs="Calibri" w:ascii="DejaVu Sans" w:hAnsi="DejaVu Sans" w:cstheme="minorHAnsi"/>
                <w:sz w:val="24"/>
                <w:szCs w:val="24"/>
              </w:rPr>
              <w:t>£630.00 North Yorkshire Council – Locality Grant</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6.2</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rPr>
              <w:t>Changed Banking arrangements</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6.3</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Bank Balance at 28.02.25 was:-</w:t>
            </w:r>
          </w:p>
          <w:p>
            <w:pPr>
              <w:pStyle w:val="Normal"/>
              <w:widowControl w:val="false"/>
              <w:numPr>
                <w:ilvl w:val="0"/>
                <w:numId w:val="0"/>
              </w:numPr>
              <w:ind w:hanging="0" w:start="720"/>
              <w:rPr>
                <w:rFonts w:ascii="DejaVu Sans" w:hAnsi="DejaVu Sans"/>
              </w:rPr>
            </w:pPr>
            <w:r>
              <w:rPr>
                <w:rFonts w:cs="Calibri" w:ascii="DejaVu Sans" w:hAnsi="DejaVu Sans" w:cstheme="minorHAnsi"/>
                <w:sz w:val="24"/>
                <w:szCs w:val="24"/>
              </w:rPr>
              <w:t>NatWest Parish Council Account £1709.49</w:t>
            </w:r>
          </w:p>
          <w:p>
            <w:pPr>
              <w:pStyle w:val="Normal"/>
              <w:widowControl w:val="false"/>
              <w:numPr>
                <w:ilvl w:val="0"/>
                <w:numId w:val="0"/>
              </w:numPr>
              <w:ind w:hanging="0" w:start="720"/>
              <w:rPr>
                <w:rFonts w:ascii="DejaVu Sans" w:hAnsi="DejaVu Sans"/>
              </w:rPr>
            </w:pPr>
            <w:r>
              <w:rPr>
                <w:rFonts w:cs="Calibri" w:ascii="DejaVu Sans" w:hAnsi="DejaVu Sans" w:cstheme="minorHAnsi"/>
                <w:sz w:val="24"/>
                <w:szCs w:val="24"/>
              </w:rPr>
              <w:t>Lloyds Bank Memorial Hall Account £6141.70</w:t>
            </w:r>
          </w:p>
        </w:tc>
      </w:tr>
      <w:tr>
        <w:trPr>
          <w:trHeight w:val="589"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6.4</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rPr>
              <w:t>Invoices received previously and paid</w:t>
            </w:r>
          </w:p>
          <w:p>
            <w:pPr>
              <w:pStyle w:val="Normal"/>
              <w:widowControl w:val="false"/>
              <w:numPr>
                <w:ilvl w:val="0"/>
                <w:numId w:val="7"/>
              </w:numPr>
              <w:rPr>
                <w:rFonts w:ascii="DejaVu Sans" w:hAnsi="DejaVu Sans"/>
              </w:rPr>
            </w:pPr>
            <w:r>
              <w:rPr>
                <w:rFonts w:ascii="DejaVu Sans" w:hAnsi="DejaVu Sans"/>
              </w:rPr>
              <w:t>Refurbished laptops Ltd £229.00 - Acer laptop with open source operating system</w:t>
            </w:r>
          </w:p>
          <w:p>
            <w:pPr>
              <w:pStyle w:val="Normal"/>
              <w:widowControl w:val="false"/>
              <w:numPr>
                <w:ilvl w:val="0"/>
                <w:numId w:val="8"/>
              </w:numPr>
              <w:rPr>
                <w:rFonts w:ascii="DejaVu Sans" w:hAnsi="DejaVu Sans"/>
              </w:rPr>
            </w:pPr>
            <w:r>
              <w:rPr>
                <w:rFonts w:ascii="DejaVu Sans" w:hAnsi="DejaVu Sans"/>
              </w:rPr>
              <w:t>Clear Insurers  £546.60 PC Annual Insurance Policy</w:t>
            </w:r>
          </w:p>
          <w:p>
            <w:pPr>
              <w:pStyle w:val="Normal"/>
              <w:widowControl w:val="false"/>
              <w:numPr>
                <w:ilvl w:val="0"/>
                <w:numId w:val="8"/>
              </w:numPr>
              <w:rPr>
                <w:rFonts w:ascii="DejaVu Sans" w:hAnsi="DejaVu Sans"/>
              </w:rPr>
            </w:pPr>
            <w:r>
              <w:rPr>
                <w:rFonts w:ascii="DejaVu Sans" w:hAnsi="DejaVu Sans"/>
              </w:rPr>
              <w:t>HugoFox.com £143.86 (£119.88 + £23.98 VAT) Annual Website subscription</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sz w:val="24"/>
                <w:szCs w:val="24"/>
              </w:rPr>
              <w:t>6.4</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sz w:val="24"/>
                <w:szCs w:val="24"/>
              </w:rPr>
              <w:t>Invoices received and to be paid::</w:t>
            </w:r>
          </w:p>
          <w:p>
            <w:pPr>
              <w:pStyle w:val="Normal"/>
              <w:widowControl w:val="false"/>
              <w:numPr>
                <w:ilvl w:val="0"/>
                <w:numId w:val="4"/>
              </w:numPr>
              <w:rPr>
                <w:rFonts w:ascii="DejaVu Sans" w:hAnsi="DejaVu Sans"/>
              </w:rPr>
            </w:pPr>
            <w:r>
              <w:rPr>
                <w:rFonts w:ascii="DejaVu Sans" w:hAnsi="DejaVu Sans"/>
                <w:sz w:val="24"/>
                <w:szCs w:val="24"/>
              </w:rPr>
              <w:t xml:space="preserve"> </w:t>
            </w:r>
            <w:r>
              <w:rPr>
                <w:rFonts w:ascii="DejaVu Sans" w:hAnsi="DejaVu Sans"/>
                <w:sz w:val="24"/>
                <w:szCs w:val="24"/>
              </w:rPr>
              <w:t>Clerk’s Salary and Expenses  2024-25</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6.5</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rPr>
              <w:t>Annual Budget and Precept request</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6.6</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rPr>
              <w:t>HMRC and Pension Regulator registration</w:t>
            </w:r>
          </w:p>
          <w:p>
            <w:pPr>
              <w:pStyle w:val="Normal"/>
              <w:widowControl w:val="false"/>
              <w:rPr>
                <w:rFonts w:ascii="DejaVu Sans" w:hAnsi="DejaVu Sans"/>
              </w:rPr>
            </w:pPr>
            <w:r>
              <w:rPr>
                <w:rFonts w:ascii="DejaVu Sans" w:hAnsi="DejaVu Sans"/>
              </w:rPr>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b/>
                <w:sz w:val="24"/>
                <w:szCs w:val="24"/>
              </w:rPr>
              <w:t>7</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rPr>
                <w:rFonts w:ascii="DejaVu Sans" w:hAnsi="DejaVu Sans"/>
              </w:rPr>
            </w:pPr>
            <w:r>
              <w:rPr>
                <w:rFonts w:cs="Calibri" w:ascii="DejaVu Sans" w:hAnsi="DejaVu Sans" w:cstheme="minorHAnsi"/>
                <w:b/>
                <w:bCs/>
                <w:sz w:val="24"/>
                <w:szCs w:val="24"/>
                <w:u w:val="single"/>
              </w:rPr>
              <w:t>Planning and Related Matters</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7.1</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Planning Applications received &amp; to be determined</w:t>
            </w:r>
          </w:p>
          <w:p>
            <w:pPr>
              <w:pStyle w:val="Normal"/>
              <w:widowControl w:val="false"/>
              <w:numPr>
                <w:ilvl w:val="0"/>
                <w:numId w:val="5"/>
              </w:numPr>
              <w:rPr>
                <w:rFonts w:ascii="DejaVu Sans" w:hAnsi="DejaVu Sans"/>
              </w:rPr>
            </w:pPr>
            <w:r>
              <w:rPr>
                <w:rFonts w:ascii="DejaVu Sans" w:hAnsi="DejaVu Sans"/>
              </w:rPr>
              <w:t>None</w:t>
            </w:r>
          </w:p>
        </w:tc>
      </w:tr>
      <w:tr>
        <w:trPr>
          <w:trHeight w:val="705"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7.2</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cs="Calibri" w:ascii="DejaVu Sans" w:hAnsi="DejaVu Sans" w:cstheme="minorHAnsi"/>
                <w:sz w:val="24"/>
                <w:szCs w:val="24"/>
              </w:rPr>
              <w:t>Planning decision notifications received</w:t>
            </w:r>
          </w:p>
          <w:p>
            <w:pPr>
              <w:pStyle w:val="Normal"/>
              <w:widowControl w:val="false"/>
              <w:numPr>
                <w:ilvl w:val="0"/>
                <w:numId w:val="2"/>
              </w:numPr>
              <w:rPr>
                <w:b w:val="false"/>
                <w:bCs w:val="false"/>
              </w:rPr>
            </w:pPr>
            <w:r>
              <w:rPr>
                <w:b w:val="false"/>
                <w:bCs w:val="false"/>
              </w:rPr>
              <w:t>None</w:t>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eastAsia="Times New Roman" w:cs="Times New Roman" w:ascii="DejaVu Sans" w:hAnsi="DejaVu Sans"/>
                <w:color w:val="00000A"/>
                <w:kern w:val="0"/>
                <w:sz w:val="24"/>
                <w:szCs w:val="24"/>
                <w:lang w:val="en-GB" w:eastAsia="en-US" w:bidi="ar-SA"/>
              </w:rPr>
              <w:t>7.3</w:t>
            </w:r>
          </w:p>
        </w:tc>
        <w:tc>
          <w:tcPr>
            <w:tcW w:w="8339" w:type="dxa"/>
            <w:tcBorders>
              <w:start w:val="single" w:sz="4" w:space="0" w:color="000000"/>
              <w:bottom w:val="single" w:sz="4" w:space="0" w:color="000000"/>
              <w:end w:val="single" w:sz="4" w:space="0" w:color="000000"/>
            </w:tcBorders>
            <w:shd w:fill="auto" w:val="clear"/>
          </w:tcPr>
          <w:p>
            <w:pPr>
              <w:pStyle w:val="Normal"/>
              <w:widowControl w:val="false"/>
              <w:rPr>
                <w:rFonts w:ascii="DejaVu Sans" w:hAnsi="DejaVu Sans"/>
              </w:rPr>
            </w:pPr>
            <w:r>
              <w:rPr>
                <w:rFonts w:ascii="DejaVu Sans" w:hAnsi="DejaVu Sans"/>
                <w:sz w:val="24"/>
                <w:szCs w:val="24"/>
              </w:rPr>
              <w:t>Planning Enforcement</w:t>
            </w:r>
          </w:p>
          <w:p>
            <w:pPr>
              <w:pStyle w:val="Normal"/>
              <w:widowControl w:val="false"/>
              <w:numPr>
                <w:ilvl w:val="0"/>
                <w:numId w:val="3"/>
              </w:numPr>
              <w:rPr>
                <w:rFonts w:ascii="DejaVu Sans" w:hAnsi="DejaVu Sans"/>
              </w:rPr>
            </w:pPr>
            <w:r>
              <w:rPr>
                <w:rFonts w:ascii="DejaVu Sans" w:hAnsi="DejaVu Sans"/>
                <w:sz w:val="24"/>
                <w:szCs w:val="24"/>
              </w:rPr>
              <w:t>None</w:t>
            </w:r>
          </w:p>
          <w:p>
            <w:pPr>
              <w:pStyle w:val="Normal"/>
              <w:widowControl w:val="false"/>
              <w:numPr>
                <w:ilvl w:val="0"/>
                <w:numId w:val="0"/>
              </w:numPr>
              <w:ind w:hanging="0" w:start="720"/>
              <w:rPr>
                <w:rFonts w:ascii="DejaVu Sans" w:hAnsi="DejaVu Sans"/>
              </w:rPr>
            </w:pPr>
            <w:r>
              <w:rPr>
                <w:rFonts w:ascii="DejaVu Sans" w:hAnsi="DejaVu Sans"/>
              </w:rPr>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cs="Calibri" w:ascii="DejaVu Sans" w:hAnsi="DejaVu Sans" w:cstheme="minorHAnsi"/>
                <w:b/>
                <w:bCs/>
                <w:sz w:val="24"/>
                <w:szCs w:val="24"/>
              </w:rPr>
              <w:t>8</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rPr>
                <w:rFonts w:ascii="DejaVu Sans" w:hAnsi="DejaVu Sans"/>
              </w:rPr>
            </w:pPr>
            <w:r>
              <w:rPr>
                <w:rFonts w:cs="Calibri" w:ascii="DejaVu Sans" w:hAnsi="DejaVu Sans" w:cstheme="minorHAnsi"/>
                <w:sz w:val="24"/>
                <w:szCs w:val="24"/>
              </w:rPr>
              <w:t>PC Administration</w:t>
            </w:r>
          </w:p>
        </w:tc>
      </w:tr>
      <w:tr>
        <w:trPr>
          <w:trHeight w:val="421"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sz w:val="24"/>
                <w:szCs w:val="24"/>
              </w:rPr>
            </w:pPr>
            <w:r>
              <w:rPr>
                <w:rFonts w:ascii="DejaVu Sans" w:hAnsi="DejaVu Sans"/>
                <w:sz w:val="24"/>
                <w:szCs w:val="24"/>
              </w:rPr>
              <w:t>8.1</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sz w:val="24"/>
                <w:szCs w:val="24"/>
              </w:rPr>
            </w:pPr>
            <w:r>
              <w:rPr>
                <w:rFonts w:ascii="DejaVu Sans" w:hAnsi="DejaVu Sans"/>
                <w:b w:val="false"/>
                <w:bCs w:val="false"/>
                <w:sz w:val="24"/>
                <w:szCs w:val="24"/>
                <w:u w:val="none"/>
              </w:rPr>
              <w:t>Parish Council meetings</w:t>
            </w:r>
          </w:p>
        </w:tc>
      </w:tr>
      <w:tr>
        <w:trPr>
          <w:trHeight w:val="421"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sz w:val="24"/>
                <w:szCs w:val="24"/>
              </w:rPr>
              <w:t>8.2</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rPr>
            </w:pPr>
            <w:r>
              <w:rPr>
                <w:rFonts w:ascii="DejaVu Sans" w:hAnsi="DejaVu Sans"/>
                <w:b w:val="false"/>
                <w:bCs w:val="false"/>
                <w:sz w:val="24"/>
                <w:szCs w:val="24"/>
                <w:u w:val="none"/>
              </w:rPr>
              <w:t>Adoption if updated Model Standing Orders</w:t>
            </w:r>
          </w:p>
        </w:tc>
      </w:tr>
      <w:tr>
        <w:trPr>
          <w:trHeight w:val="421"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8.3</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b w:val="false"/>
                <w:bCs w:val="false"/>
                <w:u w:val="none"/>
              </w:rPr>
            </w:pPr>
            <w:r>
              <w:rPr>
                <w:rFonts w:ascii="DejaVu Sans" w:hAnsi="DejaVu Sans"/>
                <w:b w:val="false"/>
                <w:bCs w:val="false"/>
                <w:u w:val="none"/>
              </w:rPr>
              <w:t>Adoption of updated Model Financial Regulations</w:t>
            </w:r>
          </w:p>
        </w:tc>
      </w:tr>
      <w:tr>
        <w:trPr>
          <w:trHeight w:val="421"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8.4</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b w:val="false"/>
                <w:bCs w:val="false"/>
                <w:u w:val="none"/>
              </w:rPr>
            </w:pPr>
            <w:r>
              <w:rPr>
                <w:rFonts w:ascii="DejaVu Sans" w:hAnsi="DejaVu Sans"/>
                <w:b w:val="false"/>
                <w:bCs w:val="false"/>
                <w:u w:val="none"/>
              </w:rPr>
              <w:t>Adoption of updated Model Code of Conduct</w:t>
            </w:r>
          </w:p>
        </w:tc>
      </w:tr>
      <w:tr>
        <w:trPr>
          <w:trHeight w:val="421"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8.5</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b w:val="false"/>
                <w:bCs w:val="false"/>
                <w:u w:val="none"/>
              </w:rPr>
            </w:pPr>
            <w:r>
              <w:rPr>
                <w:rFonts w:ascii="DejaVu Sans" w:hAnsi="DejaVu Sans"/>
                <w:b w:val="false"/>
                <w:bCs w:val="false"/>
                <w:u w:val="none"/>
              </w:rPr>
              <w:t>Adoption of Asset Register</w:t>
            </w:r>
          </w:p>
        </w:tc>
      </w:tr>
      <w:tr>
        <w:trPr>
          <w:trHeight w:val="421"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8.6</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b w:val="false"/>
                <w:bCs w:val="false"/>
                <w:u w:val="none"/>
              </w:rPr>
            </w:pPr>
            <w:r>
              <w:rPr>
                <w:rFonts w:ascii="DejaVu Sans" w:hAnsi="DejaVu Sans"/>
                <w:b w:val="false"/>
                <w:bCs w:val="false"/>
                <w:u w:val="none"/>
              </w:rPr>
              <w:t>Public Notice Board</w:t>
            </w:r>
          </w:p>
        </w:tc>
      </w:tr>
      <w:tr>
        <w:trPr>
          <w:trHeight w:val="421"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rPr>
              <w:t>8.7</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b w:val="false"/>
                <w:bCs w:val="false"/>
                <w:u w:val="none"/>
              </w:rPr>
            </w:pPr>
            <w:r>
              <w:rPr>
                <w:rFonts w:ascii="DejaVu Sans" w:hAnsi="DejaVu Sans"/>
                <w:b w:val="false"/>
                <w:bCs w:val="false"/>
                <w:u w:val="none"/>
              </w:rPr>
              <w:t>Defibrillator</w:t>
            </w:r>
          </w:p>
          <w:p>
            <w:pPr>
              <w:pStyle w:val="Normal"/>
              <w:widowControl w:val="false"/>
              <w:jc w:val="start"/>
              <w:rPr>
                <w:rFonts w:ascii="DejaVu Sans" w:hAnsi="DejaVu Sans"/>
                <w:b w:val="false"/>
                <w:bCs w:val="false"/>
                <w:u w:val="none"/>
              </w:rPr>
            </w:pPr>
            <w:r>
              <w:rPr>
                <w:rFonts w:ascii="DejaVu Sans" w:hAnsi="DejaVu Sans"/>
                <w:b w:val="false"/>
                <w:bCs w:val="false"/>
                <w:u w:val="none"/>
              </w:rPr>
            </w:r>
          </w:p>
        </w:tc>
      </w:tr>
      <w:tr>
        <w:trPr>
          <w:trHeight w:val="1072" w:hRule="atLeast"/>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rPr>
            </w:pPr>
            <w:r>
              <w:rPr>
                <w:rFonts w:ascii="DejaVu Sans" w:hAnsi="DejaVu Sans"/>
                <w:b/>
                <w:bCs/>
                <w:sz w:val="24"/>
                <w:szCs w:val="24"/>
              </w:rPr>
              <w:t>10</w:t>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jc w:val="start"/>
              <w:rPr>
                <w:rFonts w:ascii="DejaVu Sans" w:hAnsi="DejaVu Sans"/>
              </w:rPr>
            </w:pPr>
            <w:r>
              <w:rPr>
                <w:rFonts w:ascii="DejaVu Sans" w:hAnsi="DejaVu Sans"/>
                <w:sz w:val="24"/>
                <w:szCs w:val="24"/>
              </w:rPr>
              <w:t>Councillors Business Items for the next Meetings</w:t>
            </w:r>
          </w:p>
          <w:p>
            <w:pPr>
              <w:pStyle w:val="Normal"/>
              <w:widowControl w:val="false"/>
              <w:jc w:val="start"/>
              <w:rPr>
                <w:rFonts w:ascii="DejaVu Sans" w:hAnsi="DejaVu Sans"/>
                <w:sz w:val="24"/>
                <w:szCs w:val="24"/>
              </w:rPr>
            </w:pPr>
            <w:r>
              <w:rPr>
                <w:rFonts w:ascii="DejaVu Sans" w:hAnsi="DejaVu Sans"/>
                <w:sz w:val="24"/>
                <w:szCs w:val="24"/>
              </w:rPr>
            </w:r>
          </w:p>
        </w:tc>
      </w:tr>
      <w:tr>
        <w:trPr/>
        <w:tc>
          <w:tcPr>
            <w:tcW w:w="720" w:type="dxa"/>
            <w:tcBorders>
              <w:start w:val="single" w:sz="4" w:space="0" w:color="000000"/>
              <w:bottom w:val="single" w:sz="4" w:space="0" w:color="000000"/>
            </w:tcBorders>
            <w:shd w:fill="auto" w:val="clear"/>
          </w:tcPr>
          <w:p>
            <w:pPr>
              <w:pStyle w:val="Normal"/>
              <w:widowControl w:val="false"/>
              <w:rPr>
                <w:rFonts w:ascii="DejaVu Sans" w:hAnsi="DejaVu Sans" w:cs="Calibri" w:cstheme="minorHAnsi"/>
                <w:b/>
                <w:sz w:val="24"/>
                <w:szCs w:val="24"/>
              </w:rPr>
            </w:pPr>
            <w:r>
              <w:rPr>
                <w:rFonts w:cs="Calibri" w:cstheme="minorHAnsi" w:ascii="DejaVu Sans" w:hAnsi="DejaVu Sans"/>
                <w:b/>
                <w:sz w:val="24"/>
                <w:szCs w:val="24"/>
              </w:rPr>
            </w:r>
          </w:p>
        </w:tc>
        <w:tc>
          <w:tcPr>
            <w:tcW w:w="8339" w:type="dxa"/>
            <w:tcBorders>
              <w:start w:val="single" w:sz="4" w:space="0" w:color="000000"/>
              <w:bottom w:val="single" w:sz="4" w:space="0" w:color="000000"/>
              <w:end w:val="single" w:sz="4" w:space="0" w:color="000000"/>
            </w:tcBorders>
            <w:shd w:fill="auto" w:val="clear"/>
          </w:tcPr>
          <w:p>
            <w:pPr>
              <w:pStyle w:val="Heading1"/>
              <w:widowControl w:val="false"/>
              <w:rPr>
                <w:rFonts w:ascii="DejaVu Sans" w:hAnsi="DejaVu Sans"/>
              </w:rPr>
            </w:pPr>
            <w:r>
              <w:rPr>
                <w:rFonts w:cs="Calibri" w:ascii="DejaVu Sans" w:hAnsi="DejaVu Sans" w:cstheme="minorHAnsi"/>
                <w:sz w:val="24"/>
                <w:szCs w:val="24"/>
              </w:rPr>
              <w:t>Dates for future monthly meetings</w:t>
            </w:r>
          </w:p>
          <w:p>
            <w:pPr>
              <w:pStyle w:val="Heading1"/>
              <w:widowControl w:val="false"/>
              <w:rPr>
                <w:rFonts w:ascii="DejaVu Sans" w:hAnsi="DejaVu Sans"/>
              </w:rPr>
            </w:pPr>
            <w:r>
              <w:rPr>
                <w:rFonts w:ascii="DejaVu Sans" w:hAnsi="DejaVu Sans"/>
                <w:b w:val="false"/>
                <w:bCs w:val="false"/>
                <w:sz w:val="24"/>
                <w:szCs w:val="24"/>
                <w:u w:val="none"/>
              </w:rPr>
              <w:t>14 April, 19 May, 16 June 2025</w:t>
            </w:r>
          </w:p>
          <w:p>
            <w:pPr>
              <w:pStyle w:val="Normal"/>
              <w:widowControl w:val="false"/>
              <w:jc w:val="start"/>
              <w:rPr>
                <w:rFonts w:ascii="DejaVu Sans" w:hAnsi="DejaVu Sans"/>
              </w:rPr>
            </w:pPr>
            <w:r>
              <w:rPr>
                <w:rFonts w:cs="Calibri" w:ascii="DejaVu Sans" w:hAnsi="DejaVu Sans" w:cstheme="minorHAnsi"/>
                <w:sz w:val="24"/>
                <w:szCs w:val="24"/>
              </w:rPr>
              <w:t>Meetings to be held in Healaugh Memorial Hall at 7.00pm</w:t>
            </w:r>
          </w:p>
        </w:tc>
      </w:tr>
    </w:tbl>
    <w:p>
      <w:pPr>
        <w:pStyle w:val="Normal"/>
        <w:rPr>
          <w:rFonts w:ascii="DejaVu Sans" w:hAnsi="DejaVu Sans" w:cs="Calibri"/>
          <w:sz w:val="24"/>
          <w:szCs w:val="24"/>
        </w:rPr>
      </w:pPr>
      <w:r>
        <w:rPr>
          <w:rFonts w:cs="Calibri" w:ascii="DejaVu Sans" w:hAnsi="DejaVu Sans"/>
          <w:sz w:val="24"/>
          <w:szCs w:val="24"/>
        </w:rPr>
      </w:r>
    </w:p>
    <w:p>
      <w:pPr>
        <w:pStyle w:val="Normal"/>
        <w:rPr/>
      </w:pPr>
      <w:r>
        <w:rPr>
          <w:rFonts w:cs="Calibri" w:ascii="DejaVu Sans" w:hAnsi="DejaVu Sans"/>
          <w:sz w:val="24"/>
          <w:szCs w:val="24"/>
        </w:rPr>
        <w:t xml:space="preserve">Email: </w:t>
      </w:r>
      <w:r>
        <w:rPr>
          <w:rStyle w:val="Hyperlink"/>
          <w:rFonts w:cs="Calibri" w:ascii="DejaVu Sans" w:hAnsi="DejaVu Sans"/>
          <w:sz w:val="24"/>
          <w:szCs w:val="24"/>
        </w:rPr>
        <w:t>healaughandcattertonpc@outlook.com</w:t>
      </w:r>
    </w:p>
    <w:p>
      <w:pPr>
        <w:pStyle w:val="Normal"/>
        <w:rPr>
          <w:rFonts w:ascii="DejaVu Sans" w:hAnsi="DejaVu Sans" w:cs="Calibri"/>
          <w:sz w:val="24"/>
          <w:szCs w:val="24"/>
        </w:rPr>
      </w:pPr>
      <w:r>
        <w:rPr>
          <w:rFonts w:cs="Calibri" w:ascii="DejaVu Sans" w:hAnsi="DejaVu Sans"/>
          <w:sz w:val="24"/>
          <w:szCs w:val="24"/>
        </w:rPr>
      </w:r>
    </w:p>
    <w:p>
      <w:pPr>
        <w:pStyle w:val="Normal"/>
        <w:rPr>
          <w:rFonts w:ascii="DejaVu Sans" w:hAnsi="DejaVu Sans"/>
        </w:rPr>
      </w:pPr>
      <w:r>
        <w:rPr>
          <w:rFonts w:cs="Calibri" w:ascii="DejaVu Sans" w:hAnsi="DejaVu Sans"/>
          <w:sz w:val="24"/>
          <w:szCs w:val="24"/>
        </w:rPr>
        <w:t>Website: www.</w:t>
      </w:r>
    </w:p>
    <w:p>
      <w:pPr>
        <w:pStyle w:val="Normal"/>
        <w:rPr>
          <w:rFonts w:ascii="DejaVu Sans" w:hAnsi="DejaVu Sans" w:cs="Calibri"/>
          <w:sz w:val="24"/>
          <w:szCs w:val="24"/>
        </w:rPr>
      </w:pPr>
      <w:r>
        <w:rPr>
          <w:rFonts w:cs="Calibri" w:ascii="DejaVu Sans" w:hAnsi="DejaVu Sans"/>
          <w:sz w:val="24"/>
          <w:szCs w:val="24"/>
        </w:rPr>
      </w:r>
    </w:p>
    <w:p>
      <w:pPr>
        <w:pStyle w:val="Normal"/>
        <w:rPr>
          <w:rFonts w:ascii="DejaVu Sans" w:hAnsi="DejaVu Sans" w:cs="Calibri"/>
          <w:sz w:val="24"/>
          <w:szCs w:val="24"/>
        </w:rPr>
      </w:pPr>
      <w:r>
        <w:rPr>
          <w:rFonts w:cs="Calibri" w:ascii="DejaVu Sans" w:hAnsi="DejaVu Sans"/>
          <w:sz w:val="24"/>
          <w:szCs w:val="24"/>
        </w:rPr>
        <w:drawing>
          <wp:anchor behindDoc="0" distT="0" distB="0" distL="0" distR="0" simplePos="0" locked="0" layoutInCell="0" allowOverlap="1" relativeHeight="2">
            <wp:simplePos x="0" y="0"/>
            <wp:positionH relativeFrom="column">
              <wp:posOffset>52705</wp:posOffset>
            </wp:positionH>
            <wp:positionV relativeFrom="paragraph">
              <wp:posOffset>146050</wp:posOffset>
            </wp:positionV>
            <wp:extent cx="1773555" cy="524510"/>
            <wp:effectExtent l="0" t="0" r="0" b="0"/>
            <wp:wrapSquare wrapText="largest"/>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2"/>
                    <a:stretch>
                      <a:fillRect/>
                    </a:stretch>
                  </pic:blipFill>
                  <pic:spPr bwMode="auto">
                    <a:xfrm>
                      <a:off x="0" y="0"/>
                      <a:ext cx="1773555" cy="524510"/>
                    </a:xfrm>
                    <a:prstGeom prst="rect">
                      <a:avLst/>
                    </a:prstGeom>
                  </pic:spPr>
                </pic:pic>
              </a:graphicData>
            </a:graphic>
          </wp:anchor>
        </w:drawing>
      </w:r>
    </w:p>
    <w:p>
      <w:pPr>
        <w:pStyle w:val="Normal"/>
        <w:rPr>
          <w:rFonts w:ascii="DejaVu Sans" w:hAnsi="DejaVu Sans" w:cs="Calibri"/>
          <w:sz w:val="24"/>
          <w:szCs w:val="24"/>
        </w:rPr>
      </w:pPr>
      <w:r>
        <w:rPr>
          <w:rFonts w:cs="Calibri" w:ascii="DejaVu Sans" w:hAnsi="DejaVu Sans"/>
          <w:sz w:val="24"/>
          <w:szCs w:val="24"/>
        </w:rPr>
      </w:r>
    </w:p>
    <w:p>
      <w:pPr>
        <w:pStyle w:val="Normal"/>
        <w:rPr>
          <w:rFonts w:ascii="DejaVu Sans" w:hAnsi="DejaVu Sans" w:cs="Calibri"/>
          <w:sz w:val="24"/>
          <w:szCs w:val="24"/>
        </w:rPr>
      </w:pPr>
      <w:r>
        <w:rPr>
          <w:rFonts w:cs="Calibri" w:ascii="DejaVu Sans" w:hAnsi="DejaVu Sans"/>
          <w:sz w:val="24"/>
          <w:szCs w:val="24"/>
        </w:rPr>
      </w:r>
    </w:p>
    <w:p>
      <w:pPr>
        <w:pStyle w:val="Normal"/>
        <w:rPr>
          <w:rFonts w:ascii="DejaVu Sans" w:hAnsi="DejaVu Sans"/>
          <w:sz w:val="24"/>
          <w:szCs w:val="24"/>
        </w:rPr>
      </w:pPr>
      <w:r>
        <w:rPr>
          <w:rFonts w:ascii="DejaVu Sans" w:hAnsi="DejaVu Sans"/>
          <w:sz w:val="24"/>
          <w:szCs w:val="24"/>
        </w:rPr>
      </w:r>
    </w:p>
    <w:p>
      <w:pPr>
        <w:pStyle w:val="Normal"/>
        <w:rPr>
          <w:rFonts w:ascii="DejaVu Sans" w:hAnsi="DejaVu Sans"/>
        </w:rPr>
      </w:pPr>
      <w:r>
        <w:rPr>
          <w:rFonts w:cs="Calibri" w:ascii="DejaVu Sans" w:hAnsi="DejaVu Sans"/>
          <w:sz w:val="24"/>
          <w:szCs w:val="24"/>
        </w:rPr>
        <w:t xml:space="preserve">L T I Grant </w:t>
      </w:r>
    </w:p>
    <w:p>
      <w:pPr>
        <w:pStyle w:val="Normal"/>
        <w:rPr>
          <w:rFonts w:ascii="DejaVu Sans" w:hAnsi="DejaVu Sans"/>
        </w:rPr>
      </w:pPr>
      <w:r>
        <w:rPr>
          <w:rFonts w:cs="Calibri" w:ascii="DejaVu Sans" w:hAnsi="DejaVu Sans"/>
          <w:b/>
          <w:bCs/>
          <w:sz w:val="24"/>
          <w:szCs w:val="24"/>
        </w:rPr>
        <w:t>Clerk to the Parish Council</w:t>
      </w:r>
    </w:p>
    <w:p>
      <w:pPr>
        <w:pStyle w:val="Normal"/>
        <w:rPr>
          <w:rFonts w:ascii="DejaVu Sans" w:hAnsi="DejaVu Sans" w:cs="Calibri"/>
          <w:b/>
          <w:bCs/>
          <w:sz w:val="24"/>
          <w:szCs w:val="24"/>
        </w:rPr>
      </w:pPr>
      <w:r>
        <w:rPr>
          <w:rFonts w:cs="Calibri" w:ascii="DejaVu Sans" w:hAnsi="DejaVu Sans"/>
          <w:b/>
          <w:bCs/>
          <w:sz w:val="24"/>
          <w:szCs w:val="24"/>
        </w:rPr>
      </w:r>
    </w:p>
    <w:p>
      <w:pPr>
        <w:pStyle w:val="Normal"/>
        <w:rPr>
          <w:rFonts w:ascii="DejaVu Sans" w:hAnsi="DejaVu Sans" w:cs="Calibri"/>
          <w:b/>
          <w:bCs/>
          <w:sz w:val="24"/>
          <w:szCs w:val="24"/>
        </w:rPr>
      </w:pPr>
      <w:r>
        <w:rPr>
          <w:rFonts w:cs="Calibri" w:ascii="DejaVu Sans" w:hAnsi="DejaVu Sans"/>
          <w:b/>
          <w:bCs/>
          <w:sz w:val="24"/>
          <w:szCs w:val="24"/>
        </w:rPr>
      </w:r>
    </w:p>
    <w:p>
      <w:pPr>
        <w:pStyle w:val="Normal"/>
        <w:rPr>
          <w:rFonts w:ascii="DejaVu Sans" w:hAnsi="DejaVu Sans"/>
          <w:sz w:val="24"/>
          <w:szCs w:val="24"/>
        </w:rPr>
      </w:pPr>
      <w:r>
        <w:rPr>
          <w:rFonts w:ascii="DejaVu Sans" w:hAnsi="DejaVu Sans"/>
          <w:sz w:val="24"/>
          <w:szCs w:val="24"/>
        </w:rPr>
      </w:r>
    </w:p>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993" w:right="1133" w:gutter="0" w:header="720" w:top="777" w:footer="720" w:bottom="777"/>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Arial">
    <w:charset w:val="01" w:characterSet="utf-8"/>
    <w:family w:val="roman"/>
    <w:pitch w:val="variable"/>
  </w:font>
  <w:font w:name="OpenSymbol">
    <w:altName w:val="Arial Unicode MS"/>
    <w:charset w:val="01" w:characterSet="utf-8"/>
    <w:family w:val="roman"/>
    <w:pitch w:val="variable"/>
  </w:font>
  <w:font w:name="Calibri">
    <w:charset w:val="01" w:characterSet="utf-8"/>
    <w:family w:val="roman"/>
    <w:pitch w:val="variable"/>
  </w:font>
  <w:font w:name="DejaVu Sans">
    <w:charset w:val="01"/>
    <w:family w:val="swiss"/>
    <w:pitch w:val="variable"/>
  </w:font>
  <w:font w:name="DejaVu Sans">
    <w:charset w:val="01" w:characterSet="utf-8"/>
    <w:family w:val="roman"/>
    <w:pitch w:val="variable"/>
  </w:font>
  <w:font w:name="Wingdings">
    <w:charset w:val="02"/>
    <w:family w:val="auto"/>
    <w:pitch w:val="default"/>
  </w:font>
  <w:font w:name="Courier New">
    <w:charset w:val="01"/>
    <w:family w:val="modern"/>
    <w:pitch w:val="fixed"/>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rFonts w:ascii="Calibri" w:hAnsi="Calibri"/>
        <w:sz w:val="24"/>
        <w:szCs w:val="24"/>
      </w:rPr>
    </w:pPr>
    <w:r>
      <w:rPr>
        <w:rFonts w:ascii="Calibri" w:hAnsi="Calibri"/>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rFonts w:ascii="Calibri" w:hAnsi="Calibri"/>
        <w:sz w:val="24"/>
        <w:szCs w:val="24"/>
      </w:rPr>
    </w:pPr>
    <w:r>
      <w:rPr>
        <w:rFonts w:ascii="Calibri" w:hAnsi="Calibri"/>
        <w:sz w:val="24"/>
        <w:szCs w:val="24"/>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Wingdings" w:hAnsi="Wingdings" w:cs="Wingdings"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bullet"/>
      <w:lvlText w:val=""/>
      <w:lvlJc w:val="start"/>
      <w:pPr>
        <w:tabs>
          <w:tab w:val="num" w:pos="720"/>
        </w:tabs>
        <w:ind w:start="720" w:hanging="360"/>
      </w:pPr>
      <w:rPr>
        <w:rFonts w:ascii="Wingdings" w:hAnsi="Wingdings" w:cs="Wingdings" w:hint="default"/>
      </w:rPr>
    </w:lvl>
    <w:lvl w:ilvl="1">
      <w:start w:val="1"/>
      <w:numFmt w:val="bullet"/>
      <w:lvlText w:val=""/>
      <w:lvlJc w:val="start"/>
      <w:pPr>
        <w:tabs>
          <w:tab w:val="num" w:pos="1080"/>
        </w:tabs>
        <w:ind w:start="1080" w:hanging="360"/>
      </w:pPr>
      <w:rPr>
        <w:rFonts w:ascii="Symbol" w:hAnsi="Symbol" w:cs="Symbol" w:hint="default"/>
      </w:rPr>
    </w:lvl>
    <w:lvl w:ilvl="2">
      <w:start w:val="1"/>
      <w:numFmt w:val="bullet"/>
      <w:lvlText w:val=""/>
      <w:lvlJc w:val="start"/>
      <w:pPr>
        <w:tabs>
          <w:tab w:val="num" w:pos="1440"/>
        </w:tabs>
        <w:ind w:start="1440" w:hanging="360"/>
      </w:pPr>
      <w:rPr>
        <w:rFonts w:ascii="Symbol" w:hAnsi="Symbol" w:cs="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Symbol" w:hAnsi="Symbol" w:cs="Symbol" w:hint="default"/>
      </w:rPr>
    </w:lvl>
    <w:lvl w:ilvl="5">
      <w:start w:val="1"/>
      <w:numFmt w:val="bullet"/>
      <w:lvlText w:val=""/>
      <w:lvlJc w:val="start"/>
      <w:pPr>
        <w:tabs>
          <w:tab w:val="num" w:pos="2520"/>
        </w:tabs>
        <w:ind w:start="2520" w:hanging="360"/>
      </w:pPr>
      <w:rPr>
        <w:rFonts w:ascii="Symbol" w:hAnsi="Symbol" w:cs="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Symbol" w:hAnsi="Symbol" w:cs="Symbol" w:hint="default"/>
      </w:rPr>
    </w:lvl>
    <w:lvl w:ilvl="8">
      <w:start w:val="1"/>
      <w:numFmt w:val="bullet"/>
      <w:lvlText w:val=""/>
      <w:lvlJc w:val="start"/>
      <w:pPr>
        <w:tabs>
          <w:tab w:val="num" w:pos="3600"/>
        </w:tabs>
        <w:ind w:start="3600" w:hanging="360"/>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Wingdings" w:hAnsi="Wingdings" w:cs="Wingdings"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
    <w:lvl w:ilvl="0">
      <w:start w:val="1"/>
      <w:numFmt w:val="bullet"/>
      <w:lvlText w:val=""/>
      <w:lvlJc w:val="start"/>
      <w:pPr>
        <w:tabs>
          <w:tab w:val="num" w:pos="720"/>
        </w:tabs>
        <w:ind w:start="720" w:hanging="360"/>
      </w:pPr>
      <w:rPr>
        <w:rFonts w:ascii="Wingdings" w:hAnsi="Wingdings" w:cs="Wingdings" w:hint="default"/>
      </w:rPr>
    </w:lvl>
    <w:lvl w:ilvl="1">
      <w:start w:val="1"/>
      <w:numFmt w:val="bullet"/>
      <w:lvlText w:val=""/>
      <w:lvlJc w:val="start"/>
      <w:pPr>
        <w:tabs>
          <w:tab w:val="num" w:pos="1080"/>
        </w:tabs>
        <w:ind w:start="1080" w:hanging="360"/>
      </w:pPr>
      <w:rPr>
        <w:rFonts w:ascii="Wingdings" w:hAnsi="Wingdings" w:cs="Wingdings" w:hint="default"/>
      </w:rPr>
    </w:lvl>
    <w:lvl w:ilvl="2">
      <w:start w:val="1"/>
      <w:numFmt w:val="bullet"/>
      <w:lvlText w:val=""/>
      <w:lvlJc w:val="start"/>
      <w:pPr>
        <w:tabs>
          <w:tab w:val="num" w:pos="1440"/>
        </w:tabs>
        <w:ind w:start="1440" w:hanging="360"/>
      </w:pPr>
      <w:rPr>
        <w:rFonts w:ascii="Wingdings" w:hAnsi="Wingdings" w:cs="Wingdings" w:hint="default"/>
      </w:rPr>
    </w:lvl>
    <w:lvl w:ilvl="3">
      <w:start w:val="1"/>
      <w:numFmt w:val="bullet"/>
      <w:lvlText w:val=""/>
      <w:lvlJc w:val="start"/>
      <w:pPr>
        <w:tabs>
          <w:tab w:val="num" w:pos="1800"/>
        </w:tabs>
        <w:ind w:start="1800" w:hanging="360"/>
      </w:pPr>
      <w:rPr>
        <w:rFonts w:ascii="Wingdings" w:hAnsi="Wingdings" w:cs="Wingdings" w:hint="default"/>
      </w:rPr>
    </w:lvl>
    <w:lvl w:ilvl="4">
      <w:start w:val="1"/>
      <w:numFmt w:val="bullet"/>
      <w:lvlText w:val=""/>
      <w:lvlJc w:val="start"/>
      <w:pPr>
        <w:tabs>
          <w:tab w:val="num" w:pos="2160"/>
        </w:tabs>
        <w:ind w:start="2160" w:hanging="360"/>
      </w:pPr>
      <w:rPr>
        <w:rFonts w:ascii="Wingdings" w:hAnsi="Wingdings" w:cs="Wingdings" w:hint="default"/>
      </w:rPr>
    </w:lvl>
    <w:lvl w:ilvl="5">
      <w:start w:val="1"/>
      <w:numFmt w:val="bullet"/>
      <w:lvlText w:val=""/>
      <w:lvlJc w:val="start"/>
      <w:pPr>
        <w:tabs>
          <w:tab w:val="num" w:pos="2520"/>
        </w:tabs>
        <w:ind w:start="2520" w:hanging="360"/>
      </w:pPr>
      <w:rPr>
        <w:rFonts w:ascii="Wingdings" w:hAnsi="Wingdings" w:cs="Wingdings" w:hint="default"/>
      </w:rPr>
    </w:lvl>
    <w:lvl w:ilvl="6">
      <w:start w:val="1"/>
      <w:numFmt w:val="bullet"/>
      <w:lvlText w:val=""/>
      <w:lvlJc w:val="start"/>
      <w:pPr>
        <w:tabs>
          <w:tab w:val="num" w:pos="2880"/>
        </w:tabs>
        <w:ind w:start="2880" w:hanging="360"/>
      </w:pPr>
      <w:rPr>
        <w:rFonts w:ascii="Wingdings" w:hAnsi="Wingdings" w:cs="Wingdings" w:hint="default"/>
      </w:rPr>
    </w:lvl>
    <w:lvl w:ilvl="7">
      <w:start w:val="1"/>
      <w:numFmt w:val="bullet"/>
      <w:lvlText w:val=""/>
      <w:lvlJc w:val="start"/>
      <w:pPr>
        <w:tabs>
          <w:tab w:val="num" w:pos="3240"/>
        </w:tabs>
        <w:ind w:start="3240" w:hanging="360"/>
      </w:pPr>
      <w:rPr>
        <w:rFonts w:ascii="Wingdings" w:hAnsi="Wingdings" w:cs="Wingdings" w:hint="default"/>
      </w:rPr>
    </w:lvl>
    <w:lvl w:ilvl="8">
      <w:start w:val="1"/>
      <w:numFmt w:val="bullet"/>
      <w:lvlText w:val=""/>
      <w:lvlJc w:val="start"/>
      <w:pPr>
        <w:tabs>
          <w:tab w:val="num" w:pos="3600"/>
        </w:tabs>
        <w:ind w:start="3600" w:hanging="360"/>
      </w:pPr>
      <w:rPr>
        <w:rFonts w:ascii="Wingdings" w:hAnsi="Wingdings" w:cs="Wingdings" w:hint="default"/>
      </w:rPr>
    </w:lvl>
  </w:abstractNum>
  <w:abstractNum w:abstractNumId="5">
    <w:lvl w:ilvl="0">
      <w:start w:val="1"/>
      <w:numFmt w:val="bullet"/>
      <w:lvlText w:val=""/>
      <w:lvlJc w:val="start"/>
      <w:pPr>
        <w:tabs>
          <w:tab w:val="num" w:pos="720"/>
        </w:tabs>
        <w:ind w:start="720" w:hanging="360"/>
      </w:pPr>
      <w:rPr>
        <w:rFonts w:ascii="Wingdings" w:hAnsi="Wingdings" w:cs="Wingdings" w:hint="default"/>
      </w:rPr>
    </w:lvl>
    <w:lvl w:ilvl="1">
      <w:start w:val="1"/>
      <w:numFmt w:val="bullet"/>
      <w:lvlText w:val=""/>
      <w:lvlJc w:val="start"/>
      <w:pPr>
        <w:tabs>
          <w:tab w:val="num" w:pos="1080"/>
        </w:tabs>
        <w:ind w:start="1080" w:hanging="360"/>
      </w:pPr>
      <w:rPr>
        <w:rFonts w:ascii="Wingdings" w:hAnsi="Wingdings" w:cs="Wingdings" w:hint="default"/>
      </w:rPr>
    </w:lvl>
    <w:lvl w:ilvl="2">
      <w:start w:val="1"/>
      <w:numFmt w:val="bullet"/>
      <w:lvlText w:val=""/>
      <w:lvlJc w:val="start"/>
      <w:pPr>
        <w:tabs>
          <w:tab w:val="num" w:pos="1440"/>
        </w:tabs>
        <w:ind w:start="1440" w:hanging="360"/>
      </w:pPr>
      <w:rPr>
        <w:rFonts w:ascii="Wingdings" w:hAnsi="Wingdings" w:cs="Wingdings" w:hint="default"/>
      </w:rPr>
    </w:lvl>
    <w:lvl w:ilvl="3">
      <w:start w:val="1"/>
      <w:numFmt w:val="bullet"/>
      <w:lvlText w:val=""/>
      <w:lvlJc w:val="start"/>
      <w:pPr>
        <w:tabs>
          <w:tab w:val="num" w:pos="1800"/>
        </w:tabs>
        <w:ind w:start="1800" w:hanging="360"/>
      </w:pPr>
      <w:rPr>
        <w:rFonts w:ascii="Wingdings" w:hAnsi="Wingdings" w:cs="Wingdings" w:hint="default"/>
      </w:rPr>
    </w:lvl>
    <w:lvl w:ilvl="4">
      <w:start w:val="1"/>
      <w:numFmt w:val="bullet"/>
      <w:lvlText w:val=""/>
      <w:lvlJc w:val="start"/>
      <w:pPr>
        <w:tabs>
          <w:tab w:val="num" w:pos="2160"/>
        </w:tabs>
        <w:ind w:start="2160" w:hanging="360"/>
      </w:pPr>
      <w:rPr>
        <w:rFonts w:ascii="Wingdings" w:hAnsi="Wingdings" w:cs="Wingdings" w:hint="default"/>
      </w:rPr>
    </w:lvl>
    <w:lvl w:ilvl="5">
      <w:start w:val="1"/>
      <w:numFmt w:val="bullet"/>
      <w:lvlText w:val=""/>
      <w:lvlJc w:val="start"/>
      <w:pPr>
        <w:tabs>
          <w:tab w:val="num" w:pos="2520"/>
        </w:tabs>
        <w:ind w:start="2520" w:hanging="360"/>
      </w:pPr>
      <w:rPr>
        <w:rFonts w:ascii="Wingdings" w:hAnsi="Wingdings" w:cs="Wingdings" w:hint="default"/>
      </w:rPr>
    </w:lvl>
    <w:lvl w:ilvl="6">
      <w:start w:val="1"/>
      <w:numFmt w:val="bullet"/>
      <w:lvlText w:val=""/>
      <w:lvlJc w:val="start"/>
      <w:pPr>
        <w:tabs>
          <w:tab w:val="num" w:pos="2880"/>
        </w:tabs>
        <w:ind w:start="2880" w:hanging="360"/>
      </w:pPr>
      <w:rPr>
        <w:rFonts w:ascii="Wingdings" w:hAnsi="Wingdings" w:cs="Wingdings" w:hint="default"/>
      </w:rPr>
    </w:lvl>
    <w:lvl w:ilvl="7">
      <w:start w:val="1"/>
      <w:numFmt w:val="bullet"/>
      <w:lvlText w:val=""/>
      <w:lvlJc w:val="start"/>
      <w:pPr>
        <w:tabs>
          <w:tab w:val="num" w:pos="3240"/>
        </w:tabs>
        <w:ind w:start="3240" w:hanging="360"/>
      </w:pPr>
      <w:rPr>
        <w:rFonts w:ascii="Wingdings" w:hAnsi="Wingdings" w:cs="Wingdings" w:hint="default"/>
      </w:rPr>
    </w:lvl>
    <w:lvl w:ilvl="8">
      <w:start w:val="1"/>
      <w:numFmt w:val="bullet"/>
      <w:lvlText w:val=""/>
      <w:lvlJc w:val="start"/>
      <w:pPr>
        <w:tabs>
          <w:tab w:val="num" w:pos="3600"/>
        </w:tabs>
        <w:ind w:start="3600" w:hanging="360"/>
      </w:pPr>
      <w:rPr>
        <w:rFonts w:ascii="Wingdings" w:hAnsi="Wingdings" w:cs="Wingdings" w:hint="default"/>
      </w:rPr>
    </w:lvl>
  </w:abstractNum>
  <w:abstractNum w:abstractNumId="6">
    <w:lvl w:ilvl="0">
      <w:start w:val="1"/>
      <w:numFmt w:val="bullet"/>
      <w:lvlText w:val=""/>
      <w:lvlJc w:val="start"/>
      <w:pPr>
        <w:tabs>
          <w:tab w:val="num" w:pos="720"/>
        </w:tabs>
        <w:ind w:start="720" w:hanging="360"/>
      </w:pPr>
      <w:rPr>
        <w:rFonts w:ascii="Wingdings" w:hAnsi="Wingdings" w:cs="Wingdings"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7">
    <w:lvl w:ilvl="0">
      <w:start w:val="1"/>
      <w:numFmt w:val="bullet"/>
      <w:lvlText w:val=""/>
      <w:lvlJc w:val="start"/>
      <w:pPr>
        <w:tabs>
          <w:tab w:val="num" w:pos="720"/>
        </w:tabs>
        <w:ind w:start="720" w:hanging="360"/>
      </w:pPr>
      <w:rPr>
        <w:rFonts w:ascii="Wingdings" w:hAnsi="Wingdings" w:cs="Wingdings" w:hint="default"/>
      </w:rPr>
    </w:lvl>
    <w:lvl w:ilvl="1">
      <w:start w:val="1"/>
      <w:numFmt w:val="bullet"/>
      <w:lvlText w:val=""/>
      <w:lvlJc w:val="start"/>
      <w:pPr>
        <w:tabs>
          <w:tab w:val="num" w:pos="1080"/>
        </w:tabs>
        <w:ind w:start="1080" w:hanging="360"/>
      </w:pPr>
      <w:rPr>
        <w:rFonts w:ascii="Wingdings" w:hAnsi="Wingdings" w:cs="Wingdings" w:hint="default"/>
      </w:rPr>
    </w:lvl>
    <w:lvl w:ilvl="2">
      <w:start w:val="1"/>
      <w:numFmt w:val="bullet"/>
      <w:lvlText w:val=""/>
      <w:lvlJc w:val="start"/>
      <w:pPr>
        <w:tabs>
          <w:tab w:val="num" w:pos="1440"/>
        </w:tabs>
        <w:ind w:start="1440" w:hanging="360"/>
      </w:pPr>
      <w:rPr>
        <w:rFonts w:ascii="Wingdings" w:hAnsi="Wingdings" w:cs="Wingdings" w:hint="default"/>
      </w:rPr>
    </w:lvl>
    <w:lvl w:ilvl="3">
      <w:start w:val="1"/>
      <w:numFmt w:val="bullet"/>
      <w:lvlText w:val=""/>
      <w:lvlJc w:val="start"/>
      <w:pPr>
        <w:tabs>
          <w:tab w:val="num" w:pos="1800"/>
        </w:tabs>
        <w:ind w:start="1800" w:hanging="360"/>
      </w:pPr>
      <w:rPr>
        <w:rFonts w:ascii="Wingdings" w:hAnsi="Wingdings" w:cs="Wingdings" w:hint="default"/>
      </w:rPr>
    </w:lvl>
    <w:lvl w:ilvl="4">
      <w:start w:val="1"/>
      <w:numFmt w:val="bullet"/>
      <w:lvlText w:val=""/>
      <w:lvlJc w:val="start"/>
      <w:pPr>
        <w:tabs>
          <w:tab w:val="num" w:pos="2160"/>
        </w:tabs>
        <w:ind w:start="2160" w:hanging="360"/>
      </w:pPr>
      <w:rPr>
        <w:rFonts w:ascii="Wingdings" w:hAnsi="Wingdings" w:cs="Wingdings" w:hint="default"/>
      </w:rPr>
    </w:lvl>
    <w:lvl w:ilvl="5">
      <w:start w:val="1"/>
      <w:numFmt w:val="bullet"/>
      <w:lvlText w:val=""/>
      <w:lvlJc w:val="start"/>
      <w:pPr>
        <w:tabs>
          <w:tab w:val="num" w:pos="2520"/>
        </w:tabs>
        <w:ind w:start="2520" w:hanging="360"/>
      </w:pPr>
      <w:rPr>
        <w:rFonts w:ascii="Wingdings" w:hAnsi="Wingdings" w:cs="Wingdings" w:hint="default"/>
      </w:rPr>
    </w:lvl>
    <w:lvl w:ilvl="6">
      <w:start w:val="1"/>
      <w:numFmt w:val="bullet"/>
      <w:lvlText w:val=""/>
      <w:lvlJc w:val="start"/>
      <w:pPr>
        <w:tabs>
          <w:tab w:val="num" w:pos="2880"/>
        </w:tabs>
        <w:ind w:start="2880" w:hanging="360"/>
      </w:pPr>
      <w:rPr>
        <w:rFonts w:ascii="Wingdings" w:hAnsi="Wingdings" w:cs="Wingdings" w:hint="default"/>
      </w:rPr>
    </w:lvl>
    <w:lvl w:ilvl="7">
      <w:start w:val="1"/>
      <w:numFmt w:val="bullet"/>
      <w:lvlText w:val=""/>
      <w:lvlJc w:val="start"/>
      <w:pPr>
        <w:tabs>
          <w:tab w:val="num" w:pos="3240"/>
        </w:tabs>
        <w:ind w:start="3240" w:hanging="360"/>
      </w:pPr>
      <w:rPr>
        <w:rFonts w:ascii="Wingdings" w:hAnsi="Wingdings" w:cs="Wingdings" w:hint="default"/>
      </w:rPr>
    </w:lvl>
    <w:lvl w:ilvl="8">
      <w:start w:val="1"/>
      <w:numFmt w:val="bullet"/>
      <w:lvlText w:val=""/>
      <w:lvlJc w:val="start"/>
      <w:pPr>
        <w:tabs>
          <w:tab w:val="num" w:pos="3600"/>
        </w:tabs>
        <w:ind w:start="3600" w:hanging="360"/>
      </w:pPr>
      <w:rPr>
        <w:rFonts w:ascii="Wingdings" w:hAnsi="Wingdings" w:cs="Wingdings" w:hint="default"/>
      </w:rPr>
    </w:lvl>
  </w:abstractNum>
  <w:abstractNum w:abstractNumId="8">
    <w:lvl w:ilvl="0">
      <w:start w:val="1"/>
      <w:numFmt w:val="bullet"/>
      <w:lvlText w:val=""/>
      <w:lvlJc w:val="start"/>
      <w:pPr>
        <w:tabs>
          <w:tab w:val="num" w:pos="720"/>
        </w:tabs>
        <w:ind w:start="720" w:hanging="360"/>
      </w:pPr>
      <w:rPr>
        <w:rFonts w:ascii="Wingdings" w:hAnsi="Wingdings" w:cs="Wingdings" w:hint="default"/>
      </w:rPr>
    </w:lvl>
    <w:lvl w:ilvl="1">
      <w:start w:val="1"/>
      <w:numFmt w:val="bullet"/>
      <w:lvlText w:val=""/>
      <w:lvlJc w:val="start"/>
      <w:pPr>
        <w:tabs>
          <w:tab w:val="num" w:pos="1080"/>
        </w:tabs>
        <w:ind w:start="1080" w:hanging="360"/>
      </w:pPr>
      <w:rPr>
        <w:rFonts w:ascii="Wingdings" w:hAnsi="Wingdings" w:cs="Wingdings" w:hint="default"/>
      </w:rPr>
    </w:lvl>
    <w:lvl w:ilvl="2">
      <w:start w:val="1"/>
      <w:numFmt w:val="bullet"/>
      <w:lvlText w:val=""/>
      <w:lvlJc w:val="start"/>
      <w:pPr>
        <w:tabs>
          <w:tab w:val="num" w:pos="1440"/>
        </w:tabs>
        <w:ind w:start="1440" w:hanging="360"/>
      </w:pPr>
      <w:rPr>
        <w:rFonts w:ascii="Wingdings" w:hAnsi="Wingdings" w:cs="Wingdings" w:hint="default"/>
      </w:rPr>
    </w:lvl>
    <w:lvl w:ilvl="3">
      <w:start w:val="1"/>
      <w:numFmt w:val="bullet"/>
      <w:lvlText w:val=""/>
      <w:lvlJc w:val="start"/>
      <w:pPr>
        <w:tabs>
          <w:tab w:val="num" w:pos="1800"/>
        </w:tabs>
        <w:ind w:start="1800" w:hanging="360"/>
      </w:pPr>
      <w:rPr>
        <w:rFonts w:ascii="Wingdings" w:hAnsi="Wingdings" w:cs="Wingdings" w:hint="default"/>
      </w:rPr>
    </w:lvl>
    <w:lvl w:ilvl="4">
      <w:start w:val="1"/>
      <w:numFmt w:val="bullet"/>
      <w:lvlText w:val=""/>
      <w:lvlJc w:val="start"/>
      <w:pPr>
        <w:tabs>
          <w:tab w:val="num" w:pos="2160"/>
        </w:tabs>
        <w:ind w:start="2160" w:hanging="360"/>
      </w:pPr>
      <w:rPr>
        <w:rFonts w:ascii="Wingdings" w:hAnsi="Wingdings" w:cs="Wingdings" w:hint="default"/>
      </w:rPr>
    </w:lvl>
    <w:lvl w:ilvl="5">
      <w:start w:val="1"/>
      <w:numFmt w:val="bullet"/>
      <w:lvlText w:val=""/>
      <w:lvlJc w:val="start"/>
      <w:pPr>
        <w:tabs>
          <w:tab w:val="num" w:pos="2520"/>
        </w:tabs>
        <w:ind w:start="2520" w:hanging="360"/>
      </w:pPr>
      <w:rPr>
        <w:rFonts w:ascii="Wingdings" w:hAnsi="Wingdings" w:cs="Wingdings" w:hint="default"/>
      </w:rPr>
    </w:lvl>
    <w:lvl w:ilvl="6">
      <w:start w:val="1"/>
      <w:numFmt w:val="bullet"/>
      <w:lvlText w:val=""/>
      <w:lvlJc w:val="start"/>
      <w:pPr>
        <w:tabs>
          <w:tab w:val="num" w:pos="2880"/>
        </w:tabs>
        <w:ind w:start="2880" w:hanging="360"/>
      </w:pPr>
      <w:rPr>
        <w:rFonts w:ascii="Wingdings" w:hAnsi="Wingdings" w:cs="Wingdings" w:hint="default"/>
      </w:rPr>
    </w:lvl>
    <w:lvl w:ilvl="7">
      <w:start w:val="1"/>
      <w:numFmt w:val="bullet"/>
      <w:lvlText w:val=""/>
      <w:lvlJc w:val="start"/>
      <w:pPr>
        <w:tabs>
          <w:tab w:val="num" w:pos="3240"/>
        </w:tabs>
        <w:ind w:start="3240" w:hanging="360"/>
      </w:pPr>
      <w:rPr>
        <w:rFonts w:ascii="Wingdings" w:hAnsi="Wingdings" w:cs="Wingdings" w:hint="default"/>
      </w:rPr>
    </w:lvl>
    <w:lvl w:ilvl="8">
      <w:start w:val="1"/>
      <w:numFmt w:val="bullet"/>
      <w:lvlText w:val=""/>
      <w:lvlJc w:val="start"/>
      <w:pPr>
        <w:tabs>
          <w:tab w:val="num" w:pos="3600"/>
        </w:tabs>
        <w:ind w:start="3600" w:hanging="360"/>
      </w:pPr>
      <w:rPr>
        <w:rFonts w:ascii="Wingdings" w:hAnsi="Wingdings" w:cs="Wingdings" w:hint="default"/>
      </w:rPr>
    </w:lvl>
  </w:abstractNum>
  <w:abstractNum w:abstractNumId="9">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suppressAutoHyphens w:val="true"/>
      <w:bidi w:val="0"/>
      <w:spacing w:before="0" w:after="0"/>
      <w:jc w:val="start"/>
    </w:pPr>
    <w:rPr>
      <w:rFonts w:ascii="Arial" w:hAnsi="Arial" w:eastAsia="Times New Roman" w:cs="Times New Roman"/>
      <w:color w:val="00000A"/>
      <w:kern w:val="0"/>
      <w:sz w:val="22"/>
      <w:szCs w:val="20"/>
      <w:lang w:val="en-GB" w:eastAsia="en-US" w:bidi="ar-SA"/>
    </w:rPr>
  </w:style>
  <w:style w:type="paragraph" w:styleId="Heading1">
    <w:name w:val="Heading 1"/>
    <w:basedOn w:val="Normal"/>
    <w:next w:val="Normal"/>
    <w:qFormat/>
    <w:pPr>
      <w:keepNext w:val="true"/>
      <w:outlineLvl w:val="0"/>
    </w:pPr>
    <w:rPr>
      <w:b/>
      <w:u w:val="single"/>
    </w:rPr>
  </w:style>
  <w:style w:type="paragraph" w:styleId="Heading2">
    <w:name w:val="Heading 2"/>
    <w:basedOn w:val="Normal"/>
    <w:next w:val="Normal"/>
    <w:qFormat/>
    <w:pPr>
      <w:keepNext w:val="true"/>
      <w:outlineLvl w:val="1"/>
    </w:pPr>
    <w:rPr>
      <w:b/>
    </w:rPr>
  </w:style>
  <w:style w:type="paragraph" w:styleId="Heading3">
    <w:name w:val="Heading 3"/>
    <w:basedOn w:val="Normal"/>
    <w:next w:val="Normal"/>
    <w:qFormat/>
    <w:pPr>
      <w:keepNext w:val="true"/>
      <w:outlineLvl w:val="2"/>
    </w:pPr>
    <w:rPr>
      <w:b/>
      <w:bCs/>
      <w:sz w:val="20"/>
      <w:u w:val="single"/>
    </w:rPr>
  </w:style>
  <w:style w:type="character" w:styleId="DefaultParagraphFont" w:default="1">
    <w:name w:val="Default Paragraph Font"/>
    <w:uiPriority w:val="1"/>
    <w:semiHidden/>
    <w:unhideWhenUsed/>
    <w:qFormat/>
    <w:rPr/>
  </w:style>
  <w:style w:type="character" w:styleId="Hyperlink" w:customStyle="1">
    <w:name w:val="Hyperlink"/>
    <w:rPr>
      <w:color w:val="0000FF"/>
      <w:u w:val="single"/>
    </w:rPr>
  </w:style>
  <w:style w:type="character" w:styleId="Bullets">
    <w:name w:val="Bullets"/>
    <w:qFormat/>
    <w:rPr>
      <w:rFonts w:ascii="OpenSymbol" w:hAnsi="OpenSymbol" w:eastAsia="OpenSymbol" w:cs="OpenSymbol"/>
    </w:rPr>
  </w:style>
  <w:style w:type="character" w:styleId="PlainTextChar">
    <w:name w:val="Plain Text Char"/>
    <w:basedOn w:val="DefaultParagraphFont"/>
    <w:qFormat/>
    <w:rPr>
      <w:sz w:val="21"/>
      <w:szCs w:val="21"/>
    </w:rPr>
  </w:style>
  <w:style w:type="paragraph" w:styleId="Heading">
    <w:name w:val="Heading"/>
    <w:basedOn w:val="Normal"/>
    <w:next w:val="BodyText"/>
    <w:qFormat/>
    <w:pPr>
      <w:keepNext w:val="true"/>
      <w:spacing w:before="240" w:after="120"/>
    </w:pPr>
    <w:rPr>
      <w:rFonts w:ascii="Calibri" w:hAnsi="Calibr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Calibri" w:hAnsi="Calibri" w:cs="Arial"/>
    </w:rPr>
  </w:style>
  <w:style w:type="paragraph" w:styleId="Caption">
    <w:name w:val="Caption"/>
    <w:basedOn w:val="Normal"/>
    <w:qFormat/>
    <w:pPr>
      <w:suppressLineNumbers/>
      <w:spacing w:before="120" w:after="120"/>
    </w:pPr>
    <w:rPr>
      <w:rFonts w:ascii="Calibri" w:hAnsi="Calibri" w:cs="Arial"/>
      <w:i/>
      <w:iCs/>
      <w:sz w:val="24"/>
      <w:szCs w:val="24"/>
    </w:rPr>
  </w:style>
  <w:style w:type="paragraph" w:styleId="Index">
    <w:name w:val="Index"/>
    <w:basedOn w:val="Normal"/>
    <w:qFormat/>
    <w:pPr>
      <w:suppressLineNumbers/>
    </w:pPr>
    <w:rPr>
      <w:rFonts w:ascii="Calibri" w:hAnsi="Calibri" w:cs="Arial"/>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NormalTable">
    <w:name w:val="Normal Table"/>
    <w:qFormat/>
    <w:pPr>
      <w:widowControl/>
      <w:suppressAutoHyphens w:val="true"/>
      <w:bidi w:val="0"/>
      <w:spacing w:before="0" w:after="0"/>
      <w:jc w:val="start"/>
      <w:textAlignment w:val="auto"/>
    </w:pPr>
    <w:rPr>
      <w:rFonts w:ascii="Calibri" w:hAnsi="Calibri" w:eastAsia="Calibri" w:cs="Times New Roman"/>
      <w:color w:val="auto"/>
      <w:kern w:val="2"/>
      <w:sz w:val="22"/>
      <w:szCs w:val="22"/>
      <w:lang w:val="en-GB" w:eastAsia="en-US" w:bidi="ar-SA"/>
    </w:rPr>
  </w:style>
  <w:style w:type="paragraph" w:styleId="PlainText">
    <w:name w:val="Plain Text"/>
    <w:basedOn w:val="Normal"/>
    <w:qFormat/>
    <w:pPr/>
    <w:rPr>
      <w:szCs w:val="21"/>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2DD7EB-1BEE-4175-9422-0007070A0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6961</TotalTime>
  <Application>LibreOffice/24.2.7.2$Linux_X86_64 LibreOffice_project/420$Build-2</Application>
  <AppVersion>15.0000</AppVersion>
  <Pages>2</Pages>
  <Words>372</Words>
  <Characters>1929</Characters>
  <CharactersWithSpaces>2226</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2015-04-28T10:21:00Z</dcterms:created>
  <dc:creator>the grants</dc:creator>
  <dc:description/>
  <dc:language>en-GB</dc:language>
  <cp:lastModifiedBy/>
  <cp:lastPrinted>2025-02-12T11:11:00Z</cp:lastPrinted>
  <dcterms:modified xsi:type="dcterms:W3CDTF">2025-03-11T16:37:03Z</dcterms:modified>
  <cp:revision>450</cp:revision>
  <dc:subject/>
  <dc:title>Bilton in Ainsty With Bickerton Parish Council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