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1E4CD" w14:textId="77777777" w:rsidR="008D309A" w:rsidRDefault="00000000">
      <w:pPr>
        <w:spacing w:after="0"/>
        <w:rPr>
          <w:rFonts w:ascii="Century Gothic" w:hAnsi="Century Gothic"/>
          <w:sz w:val="32"/>
          <w:szCs w:val="32"/>
        </w:rPr>
      </w:pPr>
      <w:r>
        <w:rPr>
          <w:rFonts w:ascii="Century Gothic" w:hAnsi="Century Gothic"/>
          <w:b/>
          <w:bCs/>
          <w:sz w:val="32"/>
          <w:szCs w:val="32"/>
        </w:rPr>
        <w:t>Haltwhistle &amp; District Joint Burial Committee Agenda</w:t>
      </w:r>
      <w:r>
        <w:rPr>
          <w:rFonts w:ascii="Century Gothic" w:hAnsi="Century Gothic"/>
          <w:sz w:val="32"/>
          <w:szCs w:val="32"/>
        </w:rPr>
        <w:br/>
      </w:r>
      <w:r>
        <w:rPr>
          <w:rFonts w:ascii="Century Gothic" w:hAnsi="Century Gothic"/>
        </w:rPr>
        <w:t>Tuesday 15</w:t>
      </w:r>
      <w:r>
        <w:rPr>
          <w:rFonts w:ascii="Century Gothic" w:hAnsi="Century Gothic"/>
          <w:vertAlign w:val="superscript"/>
        </w:rPr>
        <w:t>th</w:t>
      </w:r>
      <w:r>
        <w:rPr>
          <w:rFonts w:ascii="Century Gothic" w:hAnsi="Century Gothic"/>
        </w:rPr>
        <w:t xml:space="preserve"> September 2026 – Greenhead Village Hall</w:t>
      </w:r>
    </w:p>
    <w:p w14:paraId="1FF383E9" w14:textId="77777777" w:rsidR="008D309A" w:rsidRDefault="00000000">
      <w:pPr>
        <w:spacing w:after="0"/>
        <w:rPr>
          <w:rFonts w:ascii="Century Gothic" w:hAnsi="Century Gothic"/>
          <w:sz w:val="20"/>
          <w:szCs w:val="20"/>
        </w:rPr>
      </w:pPr>
      <w:r>
        <w:rPr>
          <w:rFonts w:ascii="Century Gothic" w:hAnsi="Century Gothic"/>
          <w:sz w:val="20"/>
          <w:szCs w:val="20"/>
        </w:rPr>
        <w:t xml:space="preserve">Notice is hereby given that a meeting of Haltwhistle &amp; District Joint Burial Committee will be held on the above date and time. </w:t>
      </w:r>
    </w:p>
    <w:p w14:paraId="5C1849A6" w14:textId="77777777" w:rsidR="008D309A" w:rsidRDefault="00000000">
      <w:pPr>
        <w:spacing w:after="0"/>
        <w:rPr>
          <w:rFonts w:ascii="Century Gothic" w:hAnsi="Century Gothic"/>
        </w:rPr>
      </w:pPr>
      <w:r>
        <w:rPr>
          <w:noProof/>
        </w:rPr>
        <mc:AlternateContent>
          <mc:Choice Requires="wps">
            <w:drawing>
              <wp:inline distT="0" distB="0" distL="0" distR="0" wp14:anchorId="492D4B0A" wp14:editId="024FC3A7">
                <wp:extent cx="6645910" cy="13970"/>
                <wp:effectExtent l="0" t="0" r="8890" b="11430"/>
                <wp:docPr id="1" name="Horizontal Line 7"/>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2ACE5480" w14:textId="77777777" w:rsidR="008D309A" w:rsidRDefault="00000000">
      <w:pPr>
        <w:spacing w:after="0"/>
        <w:rPr>
          <w:rFonts w:ascii="Century Gothic" w:hAnsi="Century Gothic"/>
          <w:b/>
          <w:bCs/>
        </w:rPr>
      </w:pPr>
      <w:r>
        <w:rPr>
          <w:rFonts w:ascii="Century Gothic" w:hAnsi="Century Gothic"/>
          <w:b/>
          <w:bCs/>
        </w:rPr>
        <w:t>64/26 Apologies for absence</w:t>
      </w:r>
    </w:p>
    <w:p w14:paraId="488C7B41"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49119171">
                <wp:extent cx="6645910" cy="13970"/>
                <wp:effectExtent l="0" t="0" r="8890" b="11430"/>
                <wp:docPr id="2" name="Horizontal Line 1"/>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506154C3" w14:textId="77777777" w:rsidR="008D309A" w:rsidRDefault="00000000">
      <w:pPr>
        <w:spacing w:after="0"/>
        <w:rPr>
          <w:rFonts w:ascii="Century Gothic" w:hAnsi="Century Gothic"/>
          <w:b/>
          <w:bCs/>
        </w:rPr>
      </w:pPr>
      <w:r>
        <w:rPr>
          <w:rFonts w:ascii="Century Gothic" w:hAnsi="Century Gothic"/>
          <w:b/>
          <w:bCs/>
        </w:rPr>
        <w:t>65/26 Declarations of Interest</w:t>
      </w:r>
    </w:p>
    <w:p w14:paraId="40FDA91D" w14:textId="77777777" w:rsidR="008D309A" w:rsidRDefault="00000000">
      <w:pPr>
        <w:spacing w:after="0"/>
        <w:rPr>
          <w:rFonts w:ascii="Century Gothic" w:hAnsi="Century Gothic"/>
          <w:sz w:val="16"/>
          <w:szCs w:val="16"/>
        </w:rPr>
      </w:pPr>
      <w:r>
        <w:rPr>
          <w:rFonts w:ascii="Century Gothic" w:hAnsi="Century Gothic"/>
          <w:sz w:val="16"/>
          <w:szCs w:val="16"/>
        </w:rPr>
        <w:t>To receive any declarations of any disclosable pecuniary interests for the purposes of Section 31 of the Localism Act 2011 and paragraphs 13–18 of the Members’ Code of Conduct.</w:t>
      </w:r>
    </w:p>
    <w:p w14:paraId="5E4D8311" w14:textId="77777777" w:rsidR="008D309A" w:rsidRDefault="00000000">
      <w:pPr>
        <w:spacing w:after="0"/>
        <w:rPr>
          <w:rFonts w:ascii="Century Gothic" w:hAnsi="Century Gothic"/>
          <w:sz w:val="16"/>
          <w:szCs w:val="16"/>
        </w:rPr>
      </w:pPr>
      <w:r>
        <w:rPr>
          <w:rFonts w:ascii="Century Gothic" w:hAnsi="Century Gothic"/>
          <w:sz w:val="16"/>
          <w:szCs w:val="16"/>
        </w:rPr>
        <w:t>Also, to receive declarations of any other significant interests which the Member wishes to declare in the public interest, in accordance with paragraphs 19–20 of the Members’ Code of Conduct. Members are reminded that their conduct is expected to comply with the Nolan principles in public life.</w:t>
      </w:r>
    </w:p>
    <w:p w14:paraId="5EAA1298"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42058999">
                <wp:extent cx="6645910" cy="13970"/>
                <wp:effectExtent l="0" t="0" r="8890" b="11430"/>
                <wp:docPr id="3" name="Horizontal Line 2"/>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3D982EE1" w14:textId="77777777" w:rsidR="008D309A" w:rsidRDefault="00000000">
      <w:pPr>
        <w:spacing w:after="0"/>
        <w:rPr>
          <w:rFonts w:ascii="Century Gothic" w:hAnsi="Century Gothic"/>
          <w:b/>
          <w:bCs/>
        </w:rPr>
      </w:pPr>
      <w:r>
        <w:rPr>
          <w:rFonts w:ascii="Century Gothic" w:hAnsi="Century Gothic"/>
          <w:b/>
          <w:bCs/>
        </w:rPr>
        <w:t>66/26 Matters Arising from previous minutes not dealt with elsewhere in the current agenda</w:t>
      </w:r>
    </w:p>
    <w:p w14:paraId="124B4987"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697C927D">
                <wp:extent cx="6645910" cy="13970"/>
                <wp:effectExtent l="0" t="0" r="8890" b="11430"/>
                <wp:docPr id="4" name="Horizontal Line 3"/>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6D508713" w14:textId="77777777" w:rsidR="008D309A" w:rsidRDefault="00000000">
      <w:pPr>
        <w:spacing w:after="0"/>
        <w:rPr>
          <w:rFonts w:ascii="Century Gothic" w:hAnsi="Century Gothic"/>
          <w:b/>
          <w:bCs/>
        </w:rPr>
      </w:pPr>
      <w:r>
        <w:rPr>
          <w:rFonts w:ascii="Century Gothic" w:hAnsi="Century Gothic"/>
          <w:b/>
          <w:bCs/>
        </w:rPr>
        <w:t>67/26 Minutes from previous meetings</w:t>
      </w:r>
    </w:p>
    <w:p w14:paraId="455AC53C" w14:textId="6ACDC53F" w:rsidR="008D309A" w:rsidRDefault="00000000">
      <w:pPr>
        <w:spacing w:after="0"/>
        <w:rPr>
          <w:rFonts w:ascii="Century Gothic" w:hAnsi="Century Gothic"/>
        </w:rPr>
      </w:pPr>
      <w:r>
        <w:rPr>
          <w:rFonts w:ascii="Century Gothic" w:hAnsi="Century Gothic"/>
        </w:rPr>
        <w:t>Minutes from 21</w:t>
      </w:r>
      <w:r w:rsidRPr="007B715D">
        <w:rPr>
          <w:rFonts w:ascii="Century Gothic" w:hAnsi="Century Gothic"/>
          <w:vertAlign w:val="superscript"/>
        </w:rPr>
        <w:t>st</w:t>
      </w:r>
      <w:r>
        <w:rPr>
          <w:rFonts w:ascii="Century Gothic" w:hAnsi="Century Gothic"/>
        </w:rPr>
        <w:t xml:space="preserve"> of July to be approved</w:t>
      </w:r>
      <w:r>
        <w:rPr>
          <w:rFonts w:ascii="Century Gothic" w:hAnsi="Century Gothic"/>
        </w:rPr>
        <w:br/>
      </w:r>
      <w:r>
        <w:rPr>
          <w:rFonts w:ascii="Century Gothic" w:hAnsi="Century Gothic"/>
          <w:noProof/>
        </w:rPr>
        <mc:AlternateContent>
          <mc:Choice Requires="wps">
            <w:drawing>
              <wp:inline distT="0" distB="0" distL="0" distR="0" wp14:anchorId="492D4B0A" wp14:editId="6B0CB26E">
                <wp:extent cx="6645910" cy="13970"/>
                <wp:effectExtent l="0" t="0" r="8890" b="11430"/>
                <wp:docPr id="5" name="Horizontal Line 4"/>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464D66D6" w14:textId="77777777" w:rsidR="008D309A" w:rsidRDefault="00000000">
      <w:pPr>
        <w:spacing w:after="0"/>
        <w:rPr>
          <w:rFonts w:ascii="Century Gothic" w:hAnsi="Century Gothic"/>
          <w:b/>
          <w:bCs/>
        </w:rPr>
      </w:pPr>
      <w:r>
        <w:rPr>
          <w:rFonts w:ascii="Century Gothic" w:hAnsi="Century Gothic"/>
          <w:b/>
          <w:bCs/>
        </w:rPr>
        <w:t>68/26 Clerk’s Report</w:t>
      </w:r>
    </w:p>
    <w:p w14:paraId="226F09FE" w14:textId="77777777" w:rsidR="008D309A" w:rsidRDefault="00000000">
      <w:pPr>
        <w:spacing w:after="0"/>
        <w:rPr>
          <w:rFonts w:ascii="Century Gothic" w:hAnsi="Century Gothic"/>
        </w:rPr>
      </w:pPr>
      <w:r>
        <w:rPr>
          <w:rFonts w:ascii="Century Gothic" w:hAnsi="Century Gothic"/>
        </w:rPr>
        <w:t>Clerk’s report &amp; Correspondence – Appendix 1</w:t>
      </w:r>
    </w:p>
    <w:p w14:paraId="18DF1E7B"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61260AD0">
                <wp:extent cx="6645910" cy="13970"/>
                <wp:effectExtent l="0" t="0" r="8890" b="11430"/>
                <wp:docPr id="6" name="Horizontal Line 5"/>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42A119EB" w14:textId="77777777" w:rsidR="008D309A" w:rsidRDefault="00000000">
      <w:pPr>
        <w:spacing w:after="0"/>
        <w:rPr>
          <w:rFonts w:ascii="Century Gothic" w:hAnsi="Century Gothic"/>
          <w:b/>
          <w:bCs/>
        </w:rPr>
      </w:pPr>
      <w:r>
        <w:rPr>
          <w:rFonts w:ascii="Century Gothic" w:hAnsi="Century Gothic"/>
          <w:b/>
          <w:bCs/>
        </w:rPr>
        <w:t>69/26 Cemetery Matters</w:t>
      </w:r>
    </w:p>
    <w:p w14:paraId="396C1FEB" w14:textId="77777777" w:rsidR="008D309A" w:rsidRDefault="00000000">
      <w:pPr>
        <w:spacing w:after="0"/>
        <w:rPr>
          <w:rFonts w:ascii="Century Gothic" w:hAnsi="Century Gothic"/>
        </w:rPr>
      </w:pPr>
      <w:r>
        <w:rPr>
          <w:rFonts w:ascii="Century Gothic" w:hAnsi="Century Gothic"/>
        </w:rPr>
        <w:t>69/26.01 Exclusive Rights &amp; Transfers – to approve</w:t>
      </w:r>
      <w:r>
        <w:rPr>
          <w:rFonts w:ascii="Century Gothic" w:hAnsi="Century Gothic"/>
        </w:rPr>
        <w:br/>
        <w:t>69/26.02 Cemetery report – Appendix 2</w:t>
      </w:r>
    </w:p>
    <w:p w14:paraId="04114228"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0B79BA49">
                <wp:extent cx="6645910" cy="13970"/>
                <wp:effectExtent l="0" t="0" r="8890" b="11430"/>
                <wp:docPr id="7" name="Horizontal Line 6"/>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2523AC75" w14:textId="77777777" w:rsidR="008D309A" w:rsidRDefault="00000000">
      <w:pPr>
        <w:spacing w:after="0"/>
        <w:rPr>
          <w:rFonts w:ascii="Century Gothic" w:hAnsi="Century Gothic"/>
          <w:b/>
          <w:bCs/>
        </w:rPr>
      </w:pPr>
      <w:r>
        <w:rPr>
          <w:rFonts w:ascii="Century Gothic" w:hAnsi="Century Gothic"/>
          <w:b/>
          <w:bCs/>
        </w:rPr>
        <w:t>70/26 Allotments</w:t>
      </w:r>
    </w:p>
    <w:p w14:paraId="49F88FCA" w14:textId="519A3438" w:rsidR="008D309A" w:rsidRDefault="00000000">
      <w:pPr>
        <w:spacing w:after="0"/>
        <w:rPr>
          <w:rFonts w:ascii="Century Gothic" w:hAnsi="Century Gothic"/>
        </w:rPr>
      </w:pPr>
      <w:r>
        <w:rPr>
          <w:rFonts w:ascii="Century Gothic" w:hAnsi="Century Gothic"/>
        </w:rPr>
        <w:t>70/26.01 Allotment updates</w:t>
      </w:r>
    </w:p>
    <w:p w14:paraId="5FB108DB"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57EC4B80">
                <wp:extent cx="6645910" cy="13970"/>
                <wp:effectExtent l="0" t="0" r="8890" b="11430"/>
                <wp:docPr id="8" name="Horizontal Line 8"/>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25AD968C" w14:textId="77777777" w:rsidR="008D309A" w:rsidRDefault="00000000">
      <w:pPr>
        <w:spacing w:after="0"/>
        <w:rPr>
          <w:rFonts w:ascii="Century Gothic" w:hAnsi="Century Gothic"/>
          <w:b/>
          <w:bCs/>
        </w:rPr>
      </w:pPr>
      <w:r>
        <w:rPr>
          <w:rFonts w:ascii="Century Gothic" w:hAnsi="Century Gothic"/>
          <w:b/>
          <w:bCs/>
        </w:rPr>
        <w:t>71/26 Land Registration of Haltwhistle and Greenhead Cemeteries – Update</w:t>
      </w:r>
    </w:p>
    <w:p w14:paraId="0F753C4C"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1F194432">
                <wp:extent cx="6645910" cy="13970"/>
                <wp:effectExtent l="0" t="0" r="8890" b="11430"/>
                <wp:docPr id="9" name="Horizontal Line 9"/>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1F96F55F" w14:textId="77777777" w:rsidR="008D309A" w:rsidRDefault="00000000">
      <w:pPr>
        <w:spacing w:after="0"/>
        <w:rPr>
          <w:rFonts w:ascii="Century Gothic" w:hAnsi="Century Gothic"/>
          <w:b/>
          <w:bCs/>
        </w:rPr>
      </w:pPr>
      <w:r>
        <w:rPr>
          <w:rFonts w:ascii="Century Gothic" w:hAnsi="Century Gothic"/>
          <w:b/>
          <w:bCs/>
        </w:rPr>
        <w:t>72/26 Reports on Financial Matters</w:t>
      </w:r>
    </w:p>
    <w:p w14:paraId="7D4FF51B" w14:textId="77777777" w:rsidR="008D309A" w:rsidRDefault="00000000">
      <w:pPr>
        <w:spacing w:after="0"/>
        <w:rPr>
          <w:rFonts w:ascii="Century Gothic" w:hAnsi="Century Gothic"/>
        </w:rPr>
      </w:pPr>
      <w:r>
        <w:rPr>
          <w:rFonts w:ascii="Century Gothic" w:hAnsi="Century Gothic"/>
        </w:rPr>
        <w:t>72/26.01 Balances, Income and Expenditure – Appendix 3</w:t>
      </w:r>
      <w:r>
        <w:rPr>
          <w:rFonts w:ascii="Century Gothic" w:hAnsi="Century Gothic"/>
        </w:rPr>
        <w:br/>
        <w:t>72/26.02 Payments for approval – Appendix 3</w:t>
      </w:r>
      <w:r>
        <w:rPr>
          <w:rFonts w:ascii="Century Gothic" w:hAnsi="Century Gothic"/>
        </w:rPr>
        <w:br/>
      </w:r>
      <w:r>
        <w:rPr>
          <w:rFonts w:ascii="Century Gothic" w:hAnsi="Century Gothic"/>
          <w:noProof/>
        </w:rPr>
        <mc:AlternateContent>
          <mc:Choice Requires="wps">
            <w:drawing>
              <wp:inline distT="0" distB="0" distL="0" distR="0" wp14:anchorId="492D4B0A" wp14:editId="2759EBB6">
                <wp:extent cx="6645910" cy="13970"/>
                <wp:effectExtent l="0" t="0" r="8890" b="11430"/>
                <wp:docPr id="10" name="Horizontal Line 10"/>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7F7B0477" w14:textId="77777777" w:rsidR="008D309A" w:rsidRDefault="00000000">
      <w:pPr>
        <w:spacing w:after="0"/>
        <w:rPr>
          <w:rFonts w:ascii="Century Gothic" w:hAnsi="Century Gothic"/>
          <w:b/>
          <w:bCs/>
        </w:rPr>
      </w:pPr>
      <w:r>
        <w:rPr>
          <w:rFonts w:ascii="Century Gothic" w:hAnsi="Century Gothic"/>
          <w:b/>
          <w:bCs/>
        </w:rPr>
        <w:t>73/26 Any other Business</w:t>
      </w:r>
    </w:p>
    <w:p w14:paraId="2D674C95"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3FB46BC6">
                <wp:extent cx="6645910" cy="13970"/>
                <wp:effectExtent l="0" t="0" r="8890" b="11430"/>
                <wp:docPr id="11" name="Horizontal Line 11"/>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6EF1B3A3" w14:textId="77777777" w:rsidR="008D309A" w:rsidRDefault="00000000">
      <w:pPr>
        <w:spacing w:after="0"/>
        <w:rPr>
          <w:rFonts w:ascii="Century Gothic" w:hAnsi="Century Gothic"/>
          <w:b/>
          <w:bCs/>
        </w:rPr>
      </w:pPr>
      <w:r>
        <w:rPr>
          <w:rFonts w:ascii="Century Gothic" w:hAnsi="Century Gothic"/>
          <w:b/>
          <w:bCs/>
        </w:rPr>
        <w:t>Confidential Matters</w:t>
      </w:r>
    </w:p>
    <w:p w14:paraId="4985674E" w14:textId="77777777" w:rsidR="008D309A" w:rsidRDefault="00000000">
      <w:pPr>
        <w:spacing w:after="0"/>
        <w:rPr>
          <w:rFonts w:ascii="Century Gothic" w:hAnsi="Century Gothic"/>
          <w:b/>
          <w:bCs/>
        </w:rPr>
      </w:pPr>
      <w:r>
        <w:rPr>
          <w:rFonts w:ascii="Century Gothic" w:hAnsi="Century Gothic"/>
          <w:b/>
          <w:bCs/>
        </w:rPr>
        <w:t>74/26 Resolution to Exclude Press and Public</w:t>
      </w:r>
    </w:p>
    <w:p w14:paraId="1DD8F52D" w14:textId="77777777" w:rsidR="008D309A" w:rsidRDefault="00000000">
      <w:pPr>
        <w:spacing w:after="0"/>
        <w:rPr>
          <w:rFonts w:ascii="Century Gothic" w:hAnsi="Century Gothic"/>
          <w:sz w:val="18"/>
          <w:szCs w:val="18"/>
        </w:rPr>
      </w:pPr>
      <w:r>
        <w:rPr>
          <w:rFonts w:ascii="Century Gothic" w:hAnsi="Century Gothic"/>
          <w:sz w:val="18"/>
          <w:szCs w:val="18"/>
        </w:rPr>
        <w:t>To consider a resolution to exclude the public and accredited representatives of newspapers from the following item relevant to a subject which affects the Council’s area.</w:t>
      </w:r>
    </w:p>
    <w:p w14:paraId="27429105" w14:textId="77777777" w:rsidR="008D309A" w:rsidRDefault="00000000">
      <w:pPr>
        <w:spacing w:after="0"/>
        <w:rPr>
          <w:rFonts w:ascii="Century Gothic" w:hAnsi="Century Gothic"/>
          <w:sz w:val="18"/>
          <w:szCs w:val="18"/>
        </w:rPr>
      </w:pPr>
      <w:r>
        <w:rPr>
          <w:rFonts w:ascii="Century Gothic" w:hAnsi="Century Gothic"/>
          <w:b/>
          <w:bCs/>
          <w:sz w:val="18"/>
          <w:szCs w:val="18"/>
        </w:rPr>
        <w:t>Resolution</w:t>
      </w:r>
      <w:r>
        <w:rPr>
          <w:rFonts w:ascii="Century Gothic" w:hAnsi="Century Gothic"/>
          <w:sz w:val="18"/>
          <w:szCs w:val="18"/>
        </w:rPr>
        <w:br/>
        <w:t>“That in view of the confidential nature of the business about to be transacted it is advisable in the public interest that the public be temporarily excluded, and they are instructed to withdraw.”</w:t>
      </w:r>
    </w:p>
    <w:p w14:paraId="3FC24635" w14:textId="77777777" w:rsidR="008D309A" w:rsidRDefault="00000000">
      <w:pPr>
        <w:spacing w:after="0"/>
        <w:rPr>
          <w:rFonts w:ascii="Century Gothic" w:hAnsi="Century Gothic"/>
          <w:sz w:val="18"/>
          <w:szCs w:val="18"/>
        </w:rPr>
      </w:pPr>
      <w:r>
        <w:rPr>
          <w:rFonts w:ascii="Century Gothic" w:hAnsi="Century Gothic"/>
          <w:sz w:val="18"/>
          <w:szCs w:val="18"/>
        </w:rPr>
        <w:lastRenderedPageBreak/>
        <w:t>This resolution is moved under the Public Bodies (Admission to Meetings) Act 1960 (as extended by s.100 of the Local Government Act 1972), the public and accredited representatives of newspapers be excluded from the meeting for the following items of business on the grounds that it involves the likely disclosure of exempt information as defined in Part 1 of Schedule 12A of the Local Government Act 1972 by virtue of the paragraph specified against the item.</w:t>
      </w:r>
    </w:p>
    <w:p w14:paraId="1B0C2D7B" w14:textId="77777777" w:rsidR="008D309A" w:rsidRDefault="00000000">
      <w:pPr>
        <w:spacing w:after="0"/>
        <w:rPr>
          <w:rFonts w:ascii="Century Gothic" w:hAnsi="Century Gothic"/>
        </w:rPr>
      </w:pPr>
      <w:r>
        <w:rPr>
          <w:rFonts w:ascii="Century Gothic" w:hAnsi="Century Gothic"/>
        </w:rPr>
        <w:t>74/26.01 Staffing matters</w:t>
      </w:r>
    </w:p>
    <w:p w14:paraId="3D399370" w14:textId="77777777" w:rsidR="008D309A" w:rsidRDefault="00000000">
      <w:pPr>
        <w:spacing w:after="0"/>
        <w:rPr>
          <w:rFonts w:ascii="Century Gothic" w:hAnsi="Century Gothic"/>
        </w:rPr>
      </w:pPr>
      <w:r>
        <w:rPr>
          <w:rFonts w:ascii="Century Gothic" w:hAnsi="Century Gothic"/>
        </w:rPr>
        <w:t>74/26.02 Any other confidential matters</w:t>
      </w:r>
    </w:p>
    <w:p w14:paraId="64D9FBAA" w14:textId="77777777" w:rsidR="008D309A" w:rsidRDefault="00000000">
      <w:pPr>
        <w:spacing w:after="0"/>
        <w:rPr>
          <w:rFonts w:ascii="Century Gothic" w:hAnsi="Century Gothic"/>
        </w:rPr>
      </w:pPr>
      <w:r>
        <w:rPr>
          <w:rFonts w:ascii="Century Gothic" w:hAnsi="Century Gothic"/>
          <w:noProof/>
        </w:rPr>
        <mc:AlternateContent>
          <mc:Choice Requires="wps">
            <w:drawing>
              <wp:inline distT="0" distB="0" distL="0" distR="0" wp14:anchorId="492D4B0A" wp14:editId="07976FC9">
                <wp:extent cx="6645910" cy="13970"/>
                <wp:effectExtent l="0" t="0" r="8890" b="11430"/>
                <wp:docPr id="12" name="Horizontal Line 12"/>
                <wp:cNvGraphicFramePr/>
                <a:graphic xmlns:a="http://schemas.openxmlformats.org/drawingml/2006/main">
                  <a:graphicData uri="http://schemas.microsoft.com/office/word/2010/wordprocessingShape">
                    <wps:wsp>
                      <wps:cNvSpPr/>
                      <wps:spPr>
                        <a:xfrm>
                          <a:off x="0" y="0"/>
                          <a:ext cx="6645960" cy="1404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rect id="shape_0" stroked="t" o:allowincell="t" style="width:523.25pt;height:1.05pt;mso-wrap-style:none;v-text-anchor:middle" wp14:anchorId="492D4B0A">
                <v:fill o:detectmouseclick="t" on="false"/>
                <v:stroke color="black" weight="9360" joinstyle="miter" endcap="flat"/>
              </v:rect>
            </w:pict>
          </mc:Fallback>
        </mc:AlternateContent>
      </w:r>
    </w:p>
    <w:p w14:paraId="199889A5" w14:textId="77777777" w:rsidR="008D309A" w:rsidRDefault="00000000">
      <w:pPr>
        <w:spacing w:after="0"/>
        <w:rPr>
          <w:rFonts w:ascii="Century Gothic" w:hAnsi="Century Gothic"/>
          <w:b/>
          <w:bCs/>
        </w:rPr>
      </w:pPr>
      <w:r>
        <w:rPr>
          <w:rFonts w:ascii="Century Gothic" w:hAnsi="Century Gothic"/>
          <w:b/>
          <w:bCs/>
        </w:rPr>
        <w:t>Date &amp; Time of next meeting</w:t>
      </w:r>
    </w:p>
    <w:p w14:paraId="0BE52D1A" w14:textId="042E7E22" w:rsidR="008D309A" w:rsidRDefault="00000000">
      <w:pPr>
        <w:spacing w:after="0"/>
        <w:rPr>
          <w:rFonts w:ascii="Century Gothic" w:hAnsi="Century Gothic"/>
        </w:rPr>
      </w:pPr>
      <w:r>
        <w:rPr>
          <w:rFonts w:ascii="Century Gothic" w:hAnsi="Century Gothic"/>
        </w:rPr>
        <w:t xml:space="preserve">To confirm the date and venue of the next meeting, proposed </w:t>
      </w:r>
      <w:r w:rsidR="00B04201">
        <w:rPr>
          <w:rFonts w:ascii="Century Gothic" w:hAnsi="Century Gothic"/>
        </w:rPr>
        <w:t>20</w:t>
      </w:r>
      <w:r w:rsidR="00B04201" w:rsidRPr="00B04201">
        <w:rPr>
          <w:rFonts w:ascii="Century Gothic" w:hAnsi="Century Gothic"/>
          <w:vertAlign w:val="superscript"/>
        </w:rPr>
        <w:t>th</w:t>
      </w:r>
      <w:r>
        <w:rPr>
          <w:rFonts w:ascii="Century Gothic" w:hAnsi="Century Gothic"/>
        </w:rPr>
        <w:t xml:space="preserve"> of October. </w:t>
      </w:r>
    </w:p>
    <w:p w14:paraId="71FFEDB9" w14:textId="77777777" w:rsidR="008D309A" w:rsidRDefault="008D309A">
      <w:pPr>
        <w:spacing w:after="0"/>
        <w:rPr>
          <w:rFonts w:ascii="Century Gothic" w:hAnsi="Century Gothic"/>
        </w:rPr>
      </w:pPr>
    </w:p>
    <w:sectPr w:rsidR="008D309A">
      <w:footerReference w:type="even" r:id="rId6"/>
      <w:footerReference w:type="default" r:id="rId7"/>
      <w:footerReference w:type="first" r:id="rId8"/>
      <w:pgSz w:w="11906" w:h="16838"/>
      <w:pgMar w:top="720" w:right="720" w:bottom="720" w:left="720" w:header="0" w:footer="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A3D6A" w14:textId="77777777" w:rsidR="00CA6CDF" w:rsidRDefault="00CA6CDF">
      <w:pPr>
        <w:spacing w:after="0" w:line="240" w:lineRule="auto"/>
      </w:pPr>
      <w:r>
        <w:separator/>
      </w:r>
    </w:p>
  </w:endnote>
  <w:endnote w:type="continuationSeparator" w:id="0">
    <w:p w14:paraId="07F4A277" w14:textId="77777777" w:rsidR="00CA6CDF" w:rsidRDefault="00CA6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94F9" w14:textId="77777777" w:rsidR="008D309A" w:rsidRDefault="008D30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Content>
      <w:p w14:paraId="5E6AD7C5" w14:textId="77777777" w:rsidR="008D309A" w:rsidRDefault="00000000">
        <w:pPr>
          <w:rPr>
            <w:sz w:val="16"/>
            <w:szCs w:val="16"/>
          </w:rPr>
        </w:pPr>
        <w:r>
          <w:rPr>
            <w:i/>
            <w:iCs/>
            <w:sz w:val="16"/>
            <w:szCs w:val="16"/>
          </w:rPr>
          <w:t>Clerk: Ms Emma Ackroyd</w:t>
        </w:r>
        <w:r>
          <w:rPr>
            <w:sz w:val="16"/>
            <w:szCs w:val="16"/>
          </w:rPr>
          <w:br/>
        </w:r>
        <w:r>
          <w:rPr>
            <w:i/>
            <w:iCs/>
            <w:sz w:val="16"/>
            <w:szCs w:val="16"/>
          </w:rPr>
          <w:t>Email: burialclerk@haltwhistletowncouncil.gov.uk</w:t>
        </w:r>
        <w:r>
          <w:rPr>
            <w:sz w:val="16"/>
            <w:szCs w:val="16"/>
          </w:rPr>
          <w:br/>
        </w:r>
        <w:hyperlink r:id="rId1">
          <w:r>
            <w:rPr>
              <w:rStyle w:val="Hyperlink"/>
              <w:sz w:val="16"/>
              <w:szCs w:val="16"/>
            </w:rPr>
            <w:t>www.northumberlandparishes.uk/haltwhistleanddistrictjointburialcommittee</w:t>
          </w:r>
        </w:hyperlink>
      </w:p>
      <w:p w14:paraId="43E47828" w14:textId="77777777" w:rsidR="008D309A"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sdtContent>
  </w:sdt>
  <w:p w14:paraId="2EE27D56" w14:textId="77777777" w:rsidR="008D309A" w:rsidRDefault="008D30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3010900"/>
      <w:docPartObj>
        <w:docPartGallery w:val="Page Numbers (Top of Page)"/>
        <w:docPartUnique/>
      </w:docPartObj>
    </w:sdtPr>
    <w:sdtContent>
      <w:p w14:paraId="0A0B798D" w14:textId="77777777" w:rsidR="008D309A" w:rsidRDefault="00000000">
        <w:pPr>
          <w:rPr>
            <w:sz w:val="16"/>
            <w:szCs w:val="16"/>
          </w:rPr>
        </w:pPr>
        <w:r>
          <w:rPr>
            <w:i/>
            <w:iCs/>
            <w:sz w:val="16"/>
            <w:szCs w:val="16"/>
          </w:rPr>
          <w:t>Clerk: Ms Emma Ackroyd</w:t>
        </w:r>
        <w:r>
          <w:rPr>
            <w:sz w:val="16"/>
            <w:szCs w:val="16"/>
          </w:rPr>
          <w:br/>
        </w:r>
        <w:r>
          <w:rPr>
            <w:i/>
            <w:iCs/>
            <w:sz w:val="16"/>
            <w:szCs w:val="16"/>
          </w:rPr>
          <w:t>Email: burialclerk@haltwhistletowncouncil.gov.uk</w:t>
        </w:r>
        <w:r>
          <w:rPr>
            <w:sz w:val="16"/>
            <w:szCs w:val="16"/>
          </w:rPr>
          <w:br/>
        </w:r>
        <w:hyperlink r:id="rId1">
          <w:r>
            <w:rPr>
              <w:rStyle w:val="Hyperlink"/>
              <w:sz w:val="16"/>
              <w:szCs w:val="16"/>
            </w:rPr>
            <w:t>www.northumberlandparishes.uk/haltwhistleanddistrictjointburialcommittee</w:t>
          </w:r>
        </w:hyperlink>
      </w:p>
      <w:p w14:paraId="7542D888" w14:textId="77777777" w:rsidR="008D309A"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sdtContent>
  </w:sdt>
  <w:p w14:paraId="2079D018" w14:textId="77777777" w:rsidR="008D309A" w:rsidRDefault="008D30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D9CCA" w14:textId="77777777" w:rsidR="00CA6CDF" w:rsidRDefault="00CA6CDF">
      <w:pPr>
        <w:spacing w:after="0" w:line="240" w:lineRule="auto"/>
      </w:pPr>
      <w:r>
        <w:separator/>
      </w:r>
    </w:p>
  </w:footnote>
  <w:footnote w:type="continuationSeparator" w:id="0">
    <w:p w14:paraId="1058717B" w14:textId="77777777" w:rsidR="00CA6CDF" w:rsidRDefault="00CA6C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9A"/>
    <w:rsid w:val="00244EAF"/>
    <w:rsid w:val="007B715D"/>
    <w:rsid w:val="008D309A"/>
    <w:rsid w:val="00B04201"/>
    <w:rsid w:val="00CA6CDF"/>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7BF2A"/>
  <w15:docId w15:val="{3C4264C8-52FA-4DC2-9B7C-DF5867DE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Heading1">
    <w:name w:val="heading 1"/>
    <w:basedOn w:val="Normal"/>
    <w:next w:val="Normal"/>
    <w:link w:val="Heading1Char"/>
    <w:uiPriority w:val="9"/>
    <w:qFormat/>
    <w:rsid w:val="009F35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5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5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5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5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5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5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5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5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5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5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5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5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5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5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5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5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50C"/>
    <w:rPr>
      <w:rFonts w:eastAsiaTheme="majorEastAsia" w:cstheme="majorBidi"/>
      <w:color w:val="272727" w:themeColor="text1" w:themeTint="D8"/>
    </w:rPr>
  </w:style>
  <w:style w:type="character" w:customStyle="1" w:styleId="TitleChar">
    <w:name w:val="Title Char"/>
    <w:basedOn w:val="DefaultParagraphFont"/>
    <w:link w:val="Title"/>
    <w:uiPriority w:val="10"/>
    <w:rsid w:val="009F350C"/>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rsid w:val="009F350C"/>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rsid w:val="009F350C"/>
    <w:rPr>
      <w:i/>
      <w:iCs/>
      <w:color w:val="404040" w:themeColor="text1" w:themeTint="BF"/>
    </w:rPr>
  </w:style>
  <w:style w:type="character" w:styleId="IntenseEmphasis">
    <w:name w:val="Intense Emphasis"/>
    <w:basedOn w:val="DefaultParagraphFont"/>
    <w:uiPriority w:val="21"/>
    <w:qFormat/>
    <w:rsid w:val="009F350C"/>
    <w:rPr>
      <w:i/>
      <w:iCs/>
      <w:color w:val="0F4761" w:themeColor="accent1" w:themeShade="BF"/>
    </w:rPr>
  </w:style>
  <w:style w:type="character" w:customStyle="1" w:styleId="IntenseQuoteChar">
    <w:name w:val="Intense Quote Char"/>
    <w:basedOn w:val="DefaultParagraphFont"/>
    <w:link w:val="IntenseQuote"/>
    <w:uiPriority w:val="30"/>
    <w:rsid w:val="009F350C"/>
    <w:rPr>
      <w:i/>
      <w:iCs/>
      <w:color w:val="0F4761" w:themeColor="accent1" w:themeShade="BF"/>
    </w:rPr>
  </w:style>
  <w:style w:type="character" w:styleId="IntenseReference">
    <w:name w:val="Intense Reference"/>
    <w:basedOn w:val="DefaultParagraphFont"/>
    <w:uiPriority w:val="32"/>
    <w:qFormat/>
    <w:rsid w:val="009F350C"/>
    <w:rPr>
      <w:b/>
      <w:bCs/>
      <w:smallCaps/>
      <w:color w:val="0F4761" w:themeColor="accent1" w:themeShade="BF"/>
      <w:spacing w:val="5"/>
    </w:rPr>
  </w:style>
  <w:style w:type="character" w:styleId="Hyperlink">
    <w:name w:val="Hyperlink"/>
    <w:basedOn w:val="DefaultParagraphFont"/>
    <w:uiPriority w:val="99"/>
    <w:unhideWhenUsed/>
    <w:rsid w:val="009F350C"/>
    <w:rPr>
      <w:color w:val="467886" w:themeColor="hyperlink"/>
      <w:u w:val="single"/>
    </w:rPr>
  </w:style>
  <w:style w:type="character" w:styleId="UnresolvedMention">
    <w:name w:val="Unresolved Mention"/>
    <w:basedOn w:val="DefaultParagraphFont"/>
    <w:uiPriority w:val="99"/>
    <w:semiHidden/>
    <w:unhideWhenUsed/>
    <w:rsid w:val="009F350C"/>
    <w:rPr>
      <w:color w:val="605E5C"/>
      <w:shd w:val="clear" w:color="auto" w:fill="E1DFDD"/>
    </w:rPr>
  </w:style>
  <w:style w:type="character" w:customStyle="1" w:styleId="HeaderChar">
    <w:name w:val="Header Char"/>
    <w:basedOn w:val="DefaultParagraphFont"/>
    <w:link w:val="Header"/>
    <w:uiPriority w:val="99"/>
    <w:rsid w:val="009F350C"/>
  </w:style>
  <w:style w:type="character" w:customStyle="1" w:styleId="FooterChar">
    <w:name w:val="Footer Char"/>
    <w:basedOn w:val="DefaultParagraphFont"/>
    <w:link w:val="Footer"/>
    <w:uiPriority w:val="99"/>
    <w:rsid w:val="009F350C"/>
  </w:style>
  <w:style w:type="character" w:styleId="FollowedHyperlink">
    <w:name w:val="FollowedHyperlink"/>
    <w:basedOn w:val="DefaultParagraphFont"/>
    <w:uiPriority w:val="99"/>
    <w:semiHidden/>
    <w:unhideWhenUsed/>
    <w:rsid w:val="00A66F5D"/>
    <w:rPr>
      <w:color w:val="96607D" w:themeColor="followedHyperlink"/>
      <w:u w:val="single"/>
    </w:rPr>
  </w:style>
  <w:style w:type="paragraph" w:customStyle="1" w:styleId="Heading">
    <w:name w:val="Heading"/>
    <w:basedOn w:val="Normal"/>
    <w:next w:val="BodyText"/>
    <w:pPr>
      <w:keepNext/>
      <w:spacing w:before="240" w:after="120"/>
    </w:pPr>
    <w:rPr>
      <w:rFonts w:ascii="Liberation Sans" w:eastAsia="Arial Unicode MS"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pPr>
      <w:suppressLineNumbers/>
      <w:spacing w:before="120" w:after="120"/>
    </w:pPr>
    <w:rPr>
      <w:rFonts w:cs="Arial Unicode MS"/>
      <w:i/>
      <w:iCs/>
    </w:rPr>
  </w:style>
  <w:style w:type="paragraph" w:customStyle="1" w:styleId="Index">
    <w:name w:val="Index"/>
    <w:basedOn w:val="Normal"/>
    <w:pPr>
      <w:suppressLineNumbers/>
    </w:pPr>
    <w:rPr>
      <w:rFonts w:cs="Arial Unicode MS"/>
    </w:rPr>
  </w:style>
  <w:style w:type="paragraph" w:styleId="Title">
    <w:name w:val="Title"/>
    <w:basedOn w:val="Normal"/>
    <w:next w:val="Normal"/>
    <w:link w:val="TitleChar"/>
    <w:uiPriority w:val="10"/>
    <w:qFormat/>
    <w:rsid w:val="009F350C"/>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9F35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50C"/>
    <w:pPr>
      <w:spacing w:before="160"/>
      <w:jc w:val="center"/>
    </w:pPr>
    <w:rPr>
      <w:i/>
      <w:iCs/>
      <w:color w:val="404040" w:themeColor="text1" w:themeTint="BF"/>
    </w:rPr>
  </w:style>
  <w:style w:type="paragraph" w:styleId="ListParagraph">
    <w:name w:val="List Paragraph"/>
    <w:basedOn w:val="Normal"/>
    <w:uiPriority w:val="34"/>
    <w:qFormat/>
    <w:rsid w:val="009F350C"/>
    <w:pPr>
      <w:ind w:left="720"/>
      <w:contextualSpacing/>
    </w:pPr>
  </w:style>
  <w:style w:type="paragraph" w:styleId="IntenseQuote">
    <w:name w:val="Intense Quote"/>
    <w:basedOn w:val="Normal"/>
    <w:next w:val="Normal"/>
    <w:link w:val="IntenseQuoteChar"/>
    <w:uiPriority w:val="30"/>
    <w:qFormat/>
    <w:rsid w:val="009F35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HeaderandFooter">
    <w:name w:val="Header and Footer"/>
    <w:basedOn w:val="Normal"/>
  </w:style>
  <w:style w:type="paragraph" w:styleId="Header">
    <w:name w:val="header"/>
    <w:basedOn w:val="Normal"/>
    <w:link w:val="HeaderChar"/>
    <w:uiPriority w:val="99"/>
    <w:unhideWhenUsed/>
    <w:rsid w:val="009F350C"/>
    <w:pPr>
      <w:tabs>
        <w:tab w:val="center" w:pos="4513"/>
        <w:tab w:val="right" w:pos="9026"/>
      </w:tabs>
      <w:spacing w:after="0" w:line="240" w:lineRule="auto"/>
    </w:pPr>
  </w:style>
  <w:style w:type="paragraph" w:styleId="Footer">
    <w:name w:val="footer"/>
    <w:basedOn w:val="Normal"/>
    <w:link w:val="FooterChar"/>
    <w:uiPriority w:val="99"/>
    <w:unhideWhenUsed/>
    <w:rsid w:val="009F350C"/>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northumberlandparishes.uk/haltwhistleanddistrictjointburialcommitte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northumberlandparishes.uk/haltwhistleanddistrictjointburialcommittee"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Ackroyd</dc:creator>
  <dc:description/>
  <cp:lastModifiedBy>Emma Ackroyd</cp:lastModifiedBy>
  <cp:revision>7</cp:revision>
  <cp:lastPrinted>2025-06-10T17:07:00Z</cp:lastPrinted>
  <dcterms:created xsi:type="dcterms:W3CDTF">2026-09-08T10:13:00Z</dcterms:created>
  <dcterms:modified xsi:type="dcterms:W3CDTF">2026-09-09T12:36:00Z</dcterms:modified>
  <dc:language>en-US</dc:language>
</cp:coreProperties>
</file>