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widowControl/>
        <w:tabs>
          <w:tab w:val="clear" w:pos="709"/>
          <w:tab w:val="right" w:pos="7938" w:leader="none"/>
        </w:tabs>
        <w:bidi w:val="0"/>
        <w:ind w:right="-794" w:hanging="0"/>
        <w:jc w:val="center"/>
        <w:rPr/>
      </w:pPr>
      <w:r>
        <w:rPr>
          <w:b/>
          <w:bCs/>
          <w:sz w:val="28"/>
          <w:szCs w:val="28"/>
        </w:rPr>
        <w:t xml:space="preserve">MINUTES OF THE MEETING OF THE BILTON IN AINSTY WITH BICKERTON PARISH </w:t>
      </w:r>
    </w:p>
    <w:p>
      <w:pPr>
        <w:pStyle w:val="Normal"/>
        <w:widowControl/>
        <w:tabs>
          <w:tab w:val="clear" w:pos="709"/>
          <w:tab w:val="right" w:pos="7938" w:leader="none"/>
        </w:tabs>
        <w:bidi w:val="0"/>
        <w:ind w:left="-567" w:right="-794" w:hanging="0"/>
        <w:jc w:val="center"/>
        <w:rPr/>
      </w:pPr>
      <w:r>
        <w:rPr>
          <w:b/>
          <w:bCs/>
          <w:sz w:val="28"/>
          <w:szCs w:val="28"/>
        </w:rPr>
        <w:t xml:space="preserve">COUNCIL </w:t>
      </w:r>
    </w:p>
    <w:p>
      <w:pPr>
        <w:pStyle w:val="Normal"/>
        <w:widowControl/>
        <w:tabs>
          <w:tab w:val="clear" w:pos="709"/>
          <w:tab w:val="right" w:pos="7938" w:leader="none"/>
        </w:tabs>
        <w:bidi w:val="0"/>
        <w:ind w:left="-567" w:right="-794" w:hanging="0"/>
        <w:jc w:val="center"/>
        <w:rPr/>
      </w:pPr>
      <w:r>
        <w:rPr>
          <w:b/>
          <w:bCs/>
          <w:sz w:val="28"/>
          <w:szCs w:val="28"/>
        </w:rPr>
        <w:t>HELD IN TOCKWITH SCHOOL ON MONDAY 13 JANUARY 2020</w:t>
      </w:r>
    </w:p>
    <w:p>
      <w:pPr>
        <w:pStyle w:val="Normal"/>
        <w:widowControl/>
        <w:tabs>
          <w:tab w:val="clear" w:pos="709"/>
          <w:tab w:val="right" w:pos="7938" w:leader="none"/>
        </w:tabs>
        <w:bidi w:val="0"/>
        <w:ind w:left="-567" w:right="-794" w:hanging="0"/>
        <w:jc w:val="left"/>
        <w:rPr/>
      </w:pPr>
      <w:r>
        <w:rPr>
          <w:b/>
          <w:bCs/>
          <w:sz w:val="24"/>
          <w:szCs w:val="24"/>
          <w:u w:val="none"/>
        </w:rPr>
        <w:t xml:space="preserve">   </w:t>
      </w:r>
      <w:r>
        <w:rPr>
          <w:b/>
          <w:bCs/>
          <w:sz w:val="24"/>
          <w:szCs w:val="24"/>
          <w:u w:val="single"/>
        </w:rPr>
        <w:t>Present:</w:t>
      </w:r>
    </w:p>
    <w:p>
      <w:pPr>
        <w:pStyle w:val="Normal"/>
        <w:widowControl/>
        <w:tabs>
          <w:tab w:val="clear" w:pos="709"/>
          <w:tab w:val="right" w:pos="7938" w:leader="none"/>
        </w:tabs>
        <w:bidi w:val="0"/>
        <w:ind w:left="-567" w:right="-794" w:hanging="0"/>
        <w:jc w:val="left"/>
        <w:rPr/>
      </w:pPr>
      <w:r>
        <w:rPr>
          <w:b/>
          <w:bCs/>
          <w:sz w:val="24"/>
          <w:szCs w:val="24"/>
          <w:u w:val="none"/>
        </w:rPr>
        <w:t xml:space="preserve">   </w:t>
      </w:r>
      <w:r>
        <w:rPr>
          <w:b/>
          <w:bCs/>
          <w:sz w:val="24"/>
          <w:szCs w:val="24"/>
          <w:u w:val="none"/>
        </w:rPr>
        <w:t xml:space="preserve">Councillors: </w:t>
      </w:r>
      <w:r>
        <w:rPr>
          <w:b w:val="false"/>
          <w:bCs w:val="false"/>
          <w:sz w:val="24"/>
          <w:szCs w:val="24"/>
          <w:u w:val="none"/>
        </w:rPr>
        <w:t>Mrs J Hanson (Chairman),  Mrs D Podlewska, Mr S Harrison, Mrs J Farnworth,    Mr D Cross</w:t>
      </w:r>
    </w:p>
    <w:p>
      <w:pPr>
        <w:pStyle w:val="Normal"/>
        <w:widowControl/>
        <w:tabs>
          <w:tab w:val="clear" w:pos="709"/>
          <w:tab w:val="right" w:pos="7938" w:leader="none"/>
        </w:tabs>
        <w:bidi w:val="0"/>
        <w:ind w:left="-567" w:right="-794" w:hanging="0"/>
        <w:jc w:val="left"/>
        <w:rPr/>
      </w:pPr>
      <w:r>
        <w:rPr>
          <w:b w:val="false"/>
          <w:bCs w:val="false"/>
          <w:sz w:val="24"/>
          <w:szCs w:val="24"/>
          <w:u w:val="none"/>
        </w:rPr>
        <w:t xml:space="preserve">   </w:t>
      </w:r>
      <w:r>
        <w:rPr>
          <w:b w:val="false"/>
          <w:bCs w:val="false"/>
          <w:sz w:val="24"/>
          <w:szCs w:val="24"/>
          <w:u w:val="none"/>
        </w:rPr>
        <w:t xml:space="preserve">Mr S Robinson,  Mr K Talling &amp; Mr L T I Grant  (Clerk/RFO)  </w:t>
      </w:r>
    </w:p>
    <w:p>
      <w:pPr>
        <w:pStyle w:val="Normal"/>
        <w:widowControl/>
        <w:tabs>
          <w:tab w:val="clear" w:pos="709"/>
          <w:tab w:val="right" w:pos="7938" w:leader="none"/>
        </w:tabs>
        <w:bidi w:val="0"/>
        <w:ind w:left="-567" w:right="-794" w:hanging="0"/>
        <w:jc w:val="left"/>
        <w:rPr>
          <w:b/>
          <w:b/>
          <w:bCs/>
        </w:rPr>
      </w:pPr>
      <w:r>
        <w:rPr>
          <w:b/>
          <w:bCs/>
          <w:sz w:val="24"/>
          <w:szCs w:val="24"/>
          <w:u w:val="none"/>
        </w:rPr>
        <w:t xml:space="preserve">   </w:t>
      </w:r>
      <w:r>
        <w:rPr>
          <w:b/>
          <w:bCs/>
          <w:sz w:val="24"/>
          <w:szCs w:val="24"/>
          <w:u w:val="none"/>
        </w:rPr>
        <w:t>District Councillor:</w:t>
      </w:r>
      <w:r>
        <w:rPr>
          <w:b w:val="false"/>
          <w:bCs w:val="false"/>
          <w:sz w:val="24"/>
          <w:szCs w:val="24"/>
          <w:u w:val="none"/>
        </w:rPr>
        <w:t xml:space="preserve"> Mr N Waller</w:t>
      </w:r>
      <w:r>
        <w:rPr>
          <w:b/>
          <w:bCs/>
          <w:sz w:val="24"/>
          <w:szCs w:val="24"/>
          <w:u w:val="none"/>
        </w:rPr>
        <w:t xml:space="preserve">   </w:t>
      </w:r>
    </w:p>
    <w:p>
      <w:pPr>
        <w:pStyle w:val="Normal"/>
        <w:widowControl/>
        <w:tabs>
          <w:tab w:val="clear" w:pos="709"/>
          <w:tab w:val="right" w:pos="7938" w:leader="none"/>
        </w:tabs>
        <w:bidi w:val="0"/>
        <w:ind w:left="-567" w:right="-794" w:hanging="0"/>
        <w:jc w:val="left"/>
        <w:rPr>
          <w:b/>
          <w:b/>
          <w:bCs/>
          <w:sz w:val="24"/>
          <w:szCs w:val="24"/>
          <w:u w:val="none"/>
        </w:rPr>
      </w:pPr>
      <w:r>
        <w:rPr>
          <w:b/>
          <w:bCs/>
          <w:sz w:val="24"/>
          <w:szCs w:val="24"/>
          <w:u w:val="none"/>
        </w:rPr>
      </w:r>
    </w:p>
    <w:tbl>
      <w:tblPr>
        <w:tblW w:w="9475" w:type="dxa"/>
        <w:jc w:val="left"/>
        <w:tblInd w:w="-330" w:type="dxa"/>
        <w:tblCellMar>
          <w:top w:w="55" w:type="dxa"/>
          <w:left w:w="55" w:type="dxa"/>
          <w:bottom w:w="55" w:type="dxa"/>
          <w:right w:w="55" w:type="dxa"/>
        </w:tblCellMar>
      </w:tblPr>
      <w:tblGrid>
        <w:gridCol w:w="559"/>
        <w:gridCol w:w="8915"/>
      </w:tblGrid>
      <w:tr>
        <w:trPr/>
        <w:tc>
          <w:tcPr>
            <w:tcW w:w="559" w:type="dxa"/>
            <w:tcBorders/>
            <w:shd w:fill="auto" w:val="clear"/>
          </w:tcPr>
          <w:p>
            <w:pPr>
              <w:pStyle w:val="TableContents"/>
              <w:widowControl/>
              <w:bidi w:val="0"/>
              <w:ind w:left="-567" w:right="0" w:firstLine="567"/>
              <w:jc w:val="left"/>
              <w:rPr/>
            </w:pPr>
            <w:r>
              <w:rPr>
                <w:b/>
                <w:bCs/>
                <w:sz w:val="24"/>
                <w:szCs w:val="24"/>
              </w:rPr>
              <w:t>1.</w:t>
            </w:r>
          </w:p>
        </w:tc>
        <w:tc>
          <w:tcPr>
            <w:tcW w:w="8915" w:type="dxa"/>
            <w:tcBorders/>
            <w:shd w:fill="auto" w:val="clear"/>
          </w:tcPr>
          <w:p>
            <w:pPr>
              <w:pStyle w:val="TableContents"/>
              <w:rPr/>
            </w:pPr>
            <w:r>
              <w:rPr>
                <w:b/>
                <w:bCs/>
                <w:sz w:val="24"/>
                <w:szCs w:val="24"/>
                <w:u w:val="single"/>
              </w:rPr>
              <w:t>Apologies for Absence</w:t>
            </w:r>
          </w:p>
          <w:p>
            <w:pPr>
              <w:pStyle w:val="TableContents"/>
              <w:rPr/>
            </w:pPr>
            <w:r>
              <w:rPr>
                <w:b w:val="false"/>
                <w:bCs w:val="false"/>
                <w:sz w:val="24"/>
                <w:szCs w:val="24"/>
                <w:u w:val="none"/>
              </w:rPr>
              <w:t>None received</w:t>
            </w:r>
          </w:p>
          <w:p>
            <w:pPr>
              <w:pStyle w:val="TableContents"/>
              <w:rPr>
                <w:rFonts w:ascii="Calibri" w:hAnsi="Calibri"/>
                <w:b w:val="false"/>
                <w:b w:val="false"/>
                <w:bCs w:val="false"/>
                <w:sz w:val="24"/>
                <w:szCs w:val="24"/>
                <w:u w:val="none"/>
              </w:rPr>
            </w:pPr>
            <w:r>
              <w:rPr>
                <w:b w:val="false"/>
                <w:bCs w:val="false"/>
                <w:sz w:val="24"/>
                <w:szCs w:val="24"/>
                <w:u w:val="none"/>
              </w:rPr>
            </w:r>
          </w:p>
        </w:tc>
      </w:tr>
      <w:tr>
        <w:trPr/>
        <w:tc>
          <w:tcPr>
            <w:tcW w:w="559" w:type="dxa"/>
            <w:tcBorders/>
            <w:shd w:fill="auto" w:val="clear"/>
          </w:tcPr>
          <w:p>
            <w:pPr>
              <w:pStyle w:val="TableContents"/>
              <w:widowControl/>
              <w:bidi w:val="0"/>
              <w:spacing w:lineRule="auto" w:line="240"/>
              <w:ind w:left="-567" w:right="0" w:firstLine="567"/>
              <w:jc w:val="left"/>
              <w:rPr/>
            </w:pPr>
            <w:r>
              <w:rPr>
                <w:b/>
                <w:bCs/>
                <w:sz w:val="24"/>
                <w:szCs w:val="24"/>
              </w:rPr>
              <w:t>2.</w:t>
            </w:r>
          </w:p>
        </w:tc>
        <w:tc>
          <w:tcPr>
            <w:tcW w:w="8915" w:type="dxa"/>
            <w:tcBorders/>
            <w:shd w:fill="auto" w:val="clear"/>
          </w:tcPr>
          <w:p>
            <w:pPr>
              <w:pStyle w:val="TableContents"/>
              <w:rPr/>
            </w:pPr>
            <w:r>
              <w:rPr>
                <w:b/>
                <w:bCs/>
                <w:sz w:val="24"/>
                <w:szCs w:val="24"/>
                <w:u w:val="single"/>
              </w:rPr>
              <w:t>Public Questions and Statements</w:t>
            </w:r>
          </w:p>
          <w:p>
            <w:pPr>
              <w:pStyle w:val="TableContents"/>
              <w:rPr>
                <w:rFonts w:ascii="Calibri" w:hAnsi="Calibri"/>
                <w:b w:val="false"/>
                <w:b w:val="false"/>
                <w:bCs w:val="false"/>
                <w:sz w:val="24"/>
                <w:szCs w:val="24"/>
                <w:u w:val="none"/>
              </w:rPr>
            </w:pPr>
            <w:r>
              <w:rPr>
                <w:b w:val="false"/>
                <w:bCs w:val="false"/>
                <w:sz w:val="24"/>
                <w:szCs w:val="24"/>
                <w:u w:val="none"/>
              </w:rPr>
              <w:t>None received</w:t>
            </w:r>
          </w:p>
          <w:p>
            <w:pPr>
              <w:pStyle w:val="TableContents"/>
              <w:rPr>
                <w:rFonts w:ascii="Calibri" w:hAnsi="Calibri"/>
                <w:b w:val="false"/>
                <w:b w:val="false"/>
                <w:bCs w:val="false"/>
                <w:sz w:val="24"/>
                <w:szCs w:val="24"/>
                <w:u w:val="none"/>
              </w:rPr>
            </w:pPr>
            <w:r>
              <w:rPr>
                <w:b w:val="false"/>
                <w:bCs w:val="false"/>
                <w:sz w:val="24"/>
                <w:szCs w:val="24"/>
                <w:u w:val="none"/>
              </w:rPr>
            </w:r>
          </w:p>
        </w:tc>
      </w:tr>
      <w:tr>
        <w:trPr>
          <w:trHeight w:val="334" w:hRule="atLeast"/>
        </w:trPr>
        <w:tc>
          <w:tcPr>
            <w:tcW w:w="559" w:type="dxa"/>
            <w:tcBorders/>
            <w:shd w:fill="auto" w:val="clear"/>
          </w:tcPr>
          <w:p>
            <w:pPr>
              <w:pStyle w:val="TableContents"/>
              <w:widowControl/>
              <w:bidi w:val="0"/>
              <w:spacing w:lineRule="auto" w:line="240"/>
              <w:ind w:left="-567" w:right="0" w:firstLine="567"/>
              <w:jc w:val="left"/>
              <w:rPr>
                <w:b/>
                <w:b/>
                <w:bCs/>
              </w:rPr>
            </w:pPr>
            <w:r>
              <w:rPr>
                <w:b/>
                <w:bCs/>
              </w:rPr>
              <w:t>3.</w:t>
            </w:r>
          </w:p>
        </w:tc>
        <w:tc>
          <w:tcPr>
            <w:tcW w:w="8915" w:type="dxa"/>
            <w:tcBorders/>
            <w:shd w:fill="auto" w:val="clear"/>
          </w:tcPr>
          <w:p>
            <w:pPr>
              <w:pStyle w:val="TableContents"/>
              <w:spacing w:lineRule="auto" w:line="240"/>
              <w:rPr/>
            </w:pPr>
            <w:r>
              <w:rPr>
                <w:b/>
                <w:bCs/>
                <w:u w:val="single"/>
              </w:rPr>
              <w:t>Minutes of the Meting Held on 18.11.19</w:t>
            </w:r>
          </w:p>
          <w:p>
            <w:pPr>
              <w:pStyle w:val="TableContents"/>
              <w:spacing w:lineRule="auto" w:line="240"/>
              <w:rPr/>
            </w:pPr>
            <w:r>
              <w:rPr>
                <w:b w:val="false"/>
                <w:bCs w:val="false"/>
                <w:u w:val="none"/>
              </w:rPr>
              <w:t>The minutes of the meeting held on 18.11.19 were approved as a true record, by all Cllrs present without abstention.</w:t>
            </w:r>
          </w:p>
          <w:p>
            <w:pPr>
              <w:pStyle w:val="TableContents"/>
              <w:spacing w:lineRule="auto" w:line="240"/>
              <w:rPr>
                <w:b w:val="false"/>
                <w:b w:val="false"/>
                <w:bCs w:val="false"/>
                <w:u w:val="none"/>
              </w:rPr>
            </w:pPr>
            <w:r>
              <w:rPr>
                <w:b w:val="false"/>
                <w:bCs w:val="false"/>
                <w:u w:val="none"/>
              </w:rPr>
            </w:r>
          </w:p>
        </w:tc>
      </w:tr>
      <w:tr>
        <w:trPr>
          <w:trHeight w:val="334" w:hRule="atLeast"/>
        </w:trPr>
        <w:tc>
          <w:tcPr>
            <w:tcW w:w="559" w:type="dxa"/>
            <w:tcBorders/>
            <w:shd w:fill="auto" w:val="clear"/>
          </w:tcPr>
          <w:p>
            <w:pPr>
              <w:pStyle w:val="TableContents"/>
              <w:widowControl/>
              <w:bidi w:val="0"/>
              <w:spacing w:lineRule="auto" w:line="240"/>
              <w:ind w:left="-567" w:right="0" w:firstLine="567"/>
              <w:jc w:val="left"/>
              <w:rPr>
                <w:b/>
                <w:b/>
                <w:bCs/>
                <w:u w:val="none"/>
              </w:rPr>
            </w:pPr>
            <w:r>
              <w:rPr>
                <w:b/>
                <w:bCs/>
                <w:u w:val="none"/>
              </w:rPr>
              <w:t>4.</w:t>
            </w:r>
          </w:p>
        </w:tc>
        <w:tc>
          <w:tcPr>
            <w:tcW w:w="8915" w:type="dxa"/>
            <w:tcBorders/>
            <w:shd w:fill="auto" w:val="clear"/>
          </w:tcPr>
          <w:p>
            <w:pPr>
              <w:pStyle w:val="TableContents"/>
              <w:spacing w:lineRule="auto" w:line="240"/>
              <w:rPr/>
            </w:pPr>
            <w:r>
              <w:rPr>
                <w:b/>
                <w:bCs/>
                <w:u w:val="single"/>
              </w:rPr>
              <w:t>Matters Arising from the Minutes of the Meeting held on 18.11.19</w:t>
            </w:r>
          </w:p>
          <w:p>
            <w:pPr>
              <w:pStyle w:val="TableContents"/>
              <w:spacing w:lineRule="auto" w:line="240"/>
              <w:rPr>
                <w:b/>
                <w:b/>
                <w:bCs/>
                <w:u w:val="single"/>
              </w:rPr>
            </w:pPr>
            <w:r>
              <w:rPr>
                <w:b w:val="false"/>
                <w:bCs w:val="false"/>
                <w:u w:val="none"/>
              </w:rPr>
              <w:t>Nothing to report.</w:t>
            </w:r>
          </w:p>
          <w:p>
            <w:pPr>
              <w:pStyle w:val="TableContents"/>
              <w:spacing w:lineRule="auto" w:line="240"/>
              <w:rPr>
                <w:b w:val="false"/>
                <w:b w:val="false"/>
                <w:bCs w:val="false"/>
                <w:u w:val="none"/>
              </w:rPr>
            </w:pPr>
            <w:r>
              <w:rPr>
                <w:b w:val="false"/>
                <w:bCs w:val="false"/>
                <w:u w:val="none"/>
              </w:rPr>
            </w:r>
          </w:p>
        </w:tc>
      </w:tr>
      <w:tr>
        <w:trPr>
          <w:trHeight w:val="334" w:hRule="atLeast"/>
        </w:trPr>
        <w:tc>
          <w:tcPr>
            <w:tcW w:w="559" w:type="dxa"/>
            <w:tcBorders/>
            <w:shd w:fill="auto" w:val="clear"/>
          </w:tcPr>
          <w:p>
            <w:pPr>
              <w:pStyle w:val="TableContents"/>
              <w:widowControl/>
              <w:bidi w:val="0"/>
              <w:spacing w:lineRule="auto" w:line="240"/>
              <w:ind w:left="-567" w:right="0" w:firstLine="567"/>
              <w:jc w:val="left"/>
              <w:rPr>
                <w:b/>
                <w:b/>
                <w:bCs/>
              </w:rPr>
            </w:pPr>
            <w:r>
              <w:rPr>
                <w:b/>
                <w:bCs/>
              </w:rPr>
              <w:t>5.</w:t>
            </w:r>
          </w:p>
        </w:tc>
        <w:tc>
          <w:tcPr>
            <w:tcW w:w="8915" w:type="dxa"/>
            <w:tcBorders/>
            <w:shd w:fill="auto" w:val="clear"/>
          </w:tcPr>
          <w:p>
            <w:pPr>
              <w:pStyle w:val="TableContents"/>
              <w:spacing w:lineRule="auto" w:line="240"/>
              <w:rPr/>
            </w:pPr>
            <w:r>
              <w:rPr>
                <w:b/>
                <w:bCs/>
                <w:u w:val="single"/>
              </w:rPr>
              <w:t>Police Matters</w:t>
              <w:br/>
            </w:r>
            <w:r>
              <w:rPr>
                <w:b w:val="false"/>
                <w:bCs w:val="false"/>
                <w:u w:val="none"/>
              </w:rPr>
              <w:t xml:space="preserve">No one from NY Police attended. Crime statistics are available on </w:t>
            </w:r>
            <w:hyperlink r:id="rId2">
              <w:r>
                <w:rPr>
                  <w:rStyle w:val="InternetLink"/>
                  <w:b w:val="false"/>
                  <w:bCs w:val="false"/>
                  <w:u w:val="none"/>
                </w:rPr>
                <w:t>www.police.uk</w:t>
              </w:r>
            </w:hyperlink>
            <w:r>
              <w:rPr>
                <w:b w:val="false"/>
                <w:bCs w:val="false"/>
                <w:u w:val="none"/>
              </w:rPr>
              <w:t xml:space="preserve"> (search by post code). </w:t>
            </w:r>
          </w:p>
          <w:p>
            <w:pPr>
              <w:pStyle w:val="TableContents"/>
              <w:spacing w:lineRule="auto" w:line="240"/>
              <w:rPr/>
            </w:pPr>
            <w:r>
              <w:rPr>
                <w:b w:val="false"/>
                <w:bCs w:val="false"/>
                <w:u w:val="none"/>
              </w:rPr>
              <w:t>A report has been received from NY Police, which has been circulated to Cllrs</w:t>
            </w:r>
          </w:p>
          <w:p>
            <w:pPr>
              <w:pStyle w:val="TableContents"/>
              <w:spacing w:lineRule="auto" w:line="240"/>
              <w:rPr>
                <w:b/>
                <w:b/>
                <w:bCs/>
                <w:u w:val="single"/>
              </w:rPr>
            </w:pPr>
            <w:r>
              <w:rPr>
                <w:b w:val="false"/>
                <w:bCs w:val="false"/>
                <w:u w:val="none"/>
              </w:rPr>
              <w:t xml:space="preserve"> </w:t>
            </w:r>
          </w:p>
        </w:tc>
      </w:tr>
      <w:tr>
        <w:trPr>
          <w:trHeight w:val="334" w:hRule="atLeast"/>
        </w:trPr>
        <w:tc>
          <w:tcPr>
            <w:tcW w:w="559" w:type="dxa"/>
            <w:tcBorders/>
            <w:shd w:fill="auto" w:val="clear"/>
          </w:tcPr>
          <w:p>
            <w:pPr>
              <w:pStyle w:val="TableContents"/>
              <w:widowControl/>
              <w:bidi w:val="0"/>
              <w:spacing w:lineRule="auto" w:line="240"/>
              <w:ind w:left="-567" w:right="0" w:firstLine="567"/>
              <w:jc w:val="left"/>
              <w:rPr>
                <w:b/>
                <w:b/>
                <w:bCs/>
              </w:rPr>
            </w:pPr>
            <w:r>
              <w:rPr>
                <w:b/>
                <w:bCs/>
              </w:rPr>
              <w:t>6.</w:t>
            </w:r>
          </w:p>
        </w:tc>
        <w:tc>
          <w:tcPr>
            <w:tcW w:w="8915" w:type="dxa"/>
            <w:tcBorders/>
            <w:shd w:fill="auto" w:val="clear"/>
          </w:tcPr>
          <w:p>
            <w:pPr>
              <w:pStyle w:val="TableContents"/>
              <w:spacing w:lineRule="auto" w:line="240"/>
              <w:rPr>
                <w:b/>
                <w:b/>
                <w:bCs/>
                <w:u w:val="single"/>
              </w:rPr>
            </w:pPr>
            <w:r>
              <w:rPr>
                <w:b/>
                <w:bCs/>
                <w:u w:val="single"/>
              </w:rPr>
              <w:t>Financial Matters</w:t>
            </w:r>
          </w:p>
        </w:tc>
      </w:tr>
      <w:tr>
        <w:trPr>
          <w:trHeight w:val="334" w:hRule="atLeast"/>
        </w:trPr>
        <w:tc>
          <w:tcPr>
            <w:tcW w:w="559" w:type="dxa"/>
            <w:tcBorders/>
            <w:shd w:fill="auto" w:val="clear"/>
          </w:tcPr>
          <w:p>
            <w:pPr>
              <w:pStyle w:val="TableContents"/>
              <w:widowControl/>
              <w:bidi w:val="0"/>
              <w:spacing w:lineRule="auto" w:line="240"/>
              <w:ind w:left="-567" w:right="0" w:firstLine="567"/>
              <w:jc w:val="left"/>
              <w:rPr/>
            </w:pPr>
            <w:r>
              <w:rPr/>
              <w:t>6.1</w:t>
            </w:r>
          </w:p>
        </w:tc>
        <w:tc>
          <w:tcPr>
            <w:tcW w:w="8915" w:type="dxa"/>
            <w:tcBorders/>
            <w:shd w:fill="auto" w:val="clear"/>
          </w:tcPr>
          <w:p>
            <w:pPr>
              <w:pStyle w:val="TableContents"/>
              <w:spacing w:lineRule="auto" w:line="240"/>
              <w:rPr/>
            </w:pPr>
            <w:r>
              <w:rPr/>
              <w:t>Funds Received</w:t>
            </w:r>
          </w:p>
          <w:p>
            <w:pPr>
              <w:pStyle w:val="TableContents"/>
              <w:numPr>
                <w:ilvl w:val="0"/>
                <w:numId w:val="1"/>
              </w:numPr>
              <w:spacing w:lineRule="auto" w:line="240"/>
              <w:rPr/>
            </w:pPr>
            <w:r>
              <w:rPr/>
              <w:t>None.</w:t>
            </w:r>
          </w:p>
        </w:tc>
      </w:tr>
      <w:tr>
        <w:trPr>
          <w:trHeight w:val="334" w:hRule="atLeast"/>
        </w:trPr>
        <w:tc>
          <w:tcPr>
            <w:tcW w:w="559" w:type="dxa"/>
            <w:tcBorders/>
            <w:shd w:fill="auto" w:val="clear"/>
          </w:tcPr>
          <w:p>
            <w:pPr>
              <w:pStyle w:val="TableContents"/>
              <w:widowControl/>
              <w:bidi w:val="0"/>
              <w:spacing w:lineRule="auto" w:line="240"/>
              <w:ind w:left="-567" w:right="0" w:firstLine="567"/>
              <w:jc w:val="left"/>
              <w:rPr/>
            </w:pPr>
            <w:r>
              <w:rPr/>
              <w:t>6.2</w:t>
            </w:r>
          </w:p>
        </w:tc>
        <w:tc>
          <w:tcPr>
            <w:tcW w:w="8915" w:type="dxa"/>
            <w:tcBorders/>
            <w:shd w:fill="auto" w:val="clear"/>
          </w:tcPr>
          <w:p>
            <w:pPr>
              <w:pStyle w:val="TableContents"/>
              <w:spacing w:lineRule="auto" w:line="240"/>
              <w:rPr/>
            </w:pPr>
            <w:r>
              <w:rPr/>
              <w:t>Bank Balances at 31.11.19 were:</w:t>
            </w:r>
          </w:p>
          <w:p>
            <w:pPr>
              <w:pStyle w:val="TableContents"/>
              <w:numPr>
                <w:ilvl w:val="0"/>
                <w:numId w:val="2"/>
              </w:numPr>
              <w:spacing w:lineRule="auto" w:line="240"/>
              <w:rPr/>
            </w:pPr>
            <w:r>
              <w:rPr/>
              <w:t>Business money management a/c £6,984.53</w:t>
            </w:r>
          </w:p>
          <w:p>
            <w:pPr>
              <w:pStyle w:val="TableContents"/>
              <w:numPr>
                <w:ilvl w:val="0"/>
                <w:numId w:val="2"/>
              </w:numPr>
              <w:spacing w:lineRule="auto" w:line="240"/>
              <w:rPr/>
            </w:pPr>
            <w:r>
              <w:rPr/>
              <w:t>Community a/c £0.00</w:t>
            </w:r>
          </w:p>
          <w:p>
            <w:pPr>
              <w:pStyle w:val="TableContents"/>
              <w:spacing w:lineRule="auto" w:line="240"/>
              <w:rPr/>
            </w:pPr>
            <w:r>
              <w:rPr/>
              <w:t>Bank Balances at 31.12.19 were:</w:t>
            </w:r>
          </w:p>
          <w:p>
            <w:pPr>
              <w:pStyle w:val="TableContents"/>
              <w:numPr>
                <w:ilvl w:val="0"/>
                <w:numId w:val="5"/>
              </w:numPr>
              <w:spacing w:lineRule="auto" w:line="240"/>
              <w:rPr/>
            </w:pPr>
            <w:r>
              <w:rPr/>
              <w:t>Business money management a/c £6,985.56</w:t>
            </w:r>
          </w:p>
          <w:p>
            <w:pPr>
              <w:pStyle w:val="TableContents"/>
              <w:numPr>
                <w:ilvl w:val="0"/>
                <w:numId w:val="5"/>
              </w:numPr>
              <w:spacing w:lineRule="auto" w:line="240"/>
              <w:rPr/>
            </w:pPr>
            <w:r>
              <w:rPr/>
              <w:t>Community a/c £0.00</w:t>
            </w:r>
          </w:p>
        </w:tc>
      </w:tr>
      <w:tr>
        <w:trPr>
          <w:trHeight w:val="334" w:hRule="atLeast"/>
        </w:trPr>
        <w:tc>
          <w:tcPr>
            <w:tcW w:w="559" w:type="dxa"/>
            <w:tcBorders/>
            <w:shd w:fill="auto" w:val="clear"/>
          </w:tcPr>
          <w:p>
            <w:pPr>
              <w:pStyle w:val="TableContents"/>
              <w:widowControl/>
              <w:bidi w:val="0"/>
              <w:spacing w:lineRule="auto" w:line="240"/>
              <w:ind w:left="-567" w:right="0" w:firstLine="567"/>
              <w:jc w:val="left"/>
              <w:rPr/>
            </w:pPr>
            <w:r>
              <w:rPr/>
            </w:r>
          </w:p>
        </w:tc>
        <w:tc>
          <w:tcPr>
            <w:tcW w:w="8915" w:type="dxa"/>
            <w:tcBorders/>
            <w:shd w:fill="auto" w:val="clear"/>
          </w:tcPr>
          <w:p>
            <w:pPr>
              <w:pStyle w:val="TableContents"/>
              <w:spacing w:lineRule="auto" w:line="240"/>
              <w:rPr/>
            </w:pPr>
            <w:r>
              <w:rPr/>
              <w:t>Cllrs checked the bank statements for October 2019 to confirm the figures. There were no comments or queries from Councillors about the PC’s Bank accounts or financial spreadsheets circulated previously</w:t>
            </w:r>
          </w:p>
        </w:tc>
      </w:tr>
      <w:tr>
        <w:trPr>
          <w:trHeight w:val="334" w:hRule="atLeast"/>
        </w:trPr>
        <w:tc>
          <w:tcPr>
            <w:tcW w:w="559" w:type="dxa"/>
            <w:tcBorders/>
            <w:shd w:fill="auto" w:val="clear"/>
          </w:tcPr>
          <w:p>
            <w:pPr>
              <w:pStyle w:val="TableContents"/>
              <w:widowControl/>
              <w:bidi w:val="0"/>
              <w:spacing w:lineRule="auto" w:line="240"/>
              <w:ind w:left="-567" w:right="0" w:firstLine="567"/>
              <w:jc w:val="left"/>
              <w:rPr/>
            </w:pPr>
            <w:r>
              <w:rPr/>
              <w:t>6.3</w:t>
            </w:r>
          </w:p>
        </w:tc>
        <w:tc>
          <w:tcPr>
            <w:tcW w:w="8915" w:type="dxa"/>
            <w:tcBorders/>
            <w:shd w:fill="auto" w:val="clear"/>
          </w:tcPr>
          <w:p>
            <w:pPr>
              <w:pStyle w:val="TableContents"/>
              <w:spacing w:lineRule="auto" w:line="240"/>
              <w:rPr/>
            </w:pPr>
            <w:r>
              <w:rPr/>
              <w:t>Invoices received and to be paid:</w:t>
              <w:br/>
            </w:r>
            <w:r>
              <w:rPr>
                <w:b/>
                <w:bCs/>
              </w:rPr>
              <w:t>Total payment of £1,421.74 was approved by all Cllrs present without abstention, with corresponding inter account transfers.</w:t>
            </w:r>
          </w:p>
          <w:p>
            <w:pPr>
              <w:pStyle w:val="TableContents"/>
              <w:spacing w:lineRule="auto" w:line="240"/>
              <w:rPr>
                <w:b/>
                <w:b/>
                <w:bCs/>
              </w:rPr>
            </w:pPr>
            <w:r>
              <w:rPr/>
            </w:r>
          </w:p>
          <w:p>
            <w:pPr>
              <w:pStyle w:val="TableContents"/>
              <w:numPr>
                <w:ilvl w:val="0"/>
                <w:numId w:val="3"/>
              </w:numPr>
              <w:spacing w:lineRule="auto" w:line="240"/>
              <w:rPr/>
            </w:pPr>
            <w:r>
              <w:rPr/>
              <w:t>Tockwith School (Academy) £25.20 (£21.00 + £4.20 VAT), meeting room hire 13.01.20</w:t>
            </w:r>
          </w:p>
          <w:p>
            <w:pPr>
              <w:pStyle w:val="TableContents"/>
              <w:numPr>
                <w:ilvl w:val="0"/>
                <w:numId w:val="3"/>
              </w:numPr>
              <w:spacing w:lineRule="auto" w:line="240"/>
              <w:rPr/>
            </w:pPr>
            <w:r>
              <w:rPr/>
              <w:t>Clerk’s Quarterly Invoice £1,396.54 (£1,141.54 Salary &amp; Expenses + £255.00 PAYE)</w:t>
            </w:r>
          </w:p>
          <w:p>
            <w:pPr>
              <w:pStyle w:val="TableContents"/>
              <w:numPr>
                <w:ilvl w:val="0"/>
                <w:numId w:val="0"/>
              </w:numPr>
              <w:spacing w:lineRule="auto" w:line="240"/>
              <w:ind w:left="720" w:hanging="0"/>
              <w:rPr/>
            </w:pPr>
            <w:r>
              <w:rPr/>
            </w:r>
          </w:p>
        </w:tc>
      </w:tr>
      <w:tr>
        <w:trPr>
          <w:trHeight w:val="334" w:hRule="atLeast"/>
        </w:trPr>
        <w:tc>
          <w:tcPr>
            <w:tcW w:w="559" w:type="dxa"/>
            <w:tcBorders/>
            <w:shd w:fill="auto" w:val="clear"/>
          </w:tcPr>
          <w:p>
            <w:pPr>
              <w:pStyle w:val="TableContents"/>
              <w:widowControl/>
              <w:bidi w:val="0"/>
              <w:spacing w:lineRule="auto" w:line="240"/>
              <w:ind w:left="-567" w:right="0" w:firstLine="567"/>
              <w:jc w:val="left"/>
              <w:rPr/>
            </w:pPr>
            <w:r>
              <w:rPr>
                <w:b/>
                <w:bCs/>
                <w:sz w:val="24"/>
                <w:szCs w:val="24"/>
                <w:u w:val="none"/>
              </w:rPr>
              <w:t>7.</w:t>
            </w:r>
          </w:p>
        </w:tc>
        <w:tc>
          <w:tcPr>
            <w:tcW w:w="8915" w:type="dxa"/>
            <w:tcBorders/>
            <w:shd w:fill="auto" w:val="clear"/>
          </w:tcPr>
          <w:p>
            <w:pPr>
              <w:pStyle w:val="TableContents"/>
              <w:spacing w:lineRule="auto" w:line="240"/>
              <w:rPr/>
            </w:pPr>
            <w:r>
              <w:rPr>
                <w:b/>
                <w:bCs/>
                <w:sz w:val="24"/>
                <w:szCs w:val="24"/>
                <w:u w:val="single"/>
              </w:rPr>
              <w:t>Planning and Related Matters</w:t>
            </w:r>
          </w:p>
        </w:tc>
      </w:tr>
      <w:tr>
        <w:trPr>
          <w:trHeight w:val="334" w:hRule="atLeast"/>
        </w:trPr>
        <w:tc>
          <w:tcPr>
            <w:tcW w:w="559" w:type="dxa"/>
            <w:tcBorders/>
            <w:shd w:fill="auto" w:val="clear"/>
          </w:tcPr>
          <w:p>
            <w:pPr>
              <w:pStyle w:val="TableContents"/>
              <w:widowControl/>
              <w:bidi w:val="0"/>
              <w:spacing w:lineRule="auto" w:line="240"/>
              <w:ind w:left="-567" w:right="0" w:firstLine="567"/>
              <w:jc w:val="left"/>
              <w:rPr/>
            </w:pPr>
            <w:r>
              <w:rPr/>
              <w:t>7.1</w:t>
            </w:r>
          </w:p>
        </w:tc>
        <w:tc>
          <w:tcPr>
            <w:tcW w:w="8915" w:type="dxa"/>
            <w:tcBorders/>
            <w:shd w:fill="auto" w:val="clear"/>
          </w:tcPr>
          <w:p>
            <w:pPr>
              <w:pStyle w:val="TableContents"/>
              <w:spacing w:lineRule="auto" w:line="240"/>
              <w:rPr/>
            </w:pPr>
            <w:r>
              <w:rPr/>
              <w:t>Planning Applications received and to be determined</w:t>
            </w:r>
          </w:p>
          <w:p>
            <w:pPr>
              <w:pStyle w:val="TableContents"/>
              <w:numPr>
                <w:ilvl w:val="0"/>
                <w:numId w:val="4"/>
              </w:numPr>
              <w:spacing w:lineRule="auto" w:line="240"/>
              <w:rPr/>
            </w:pPr>
            <w:r>
              <w:rPr/>
              <w:t>None received</w:t>
            </w:r>
          </w:p>
          <w:p>
            <w:pPr>
              <w:pStyle w:val="TableContents"/>
              <w:spacing w:lineRule="auto" w:line="240"/>
              <w:rPr>
                <w:b w:val="false"/>
                <w:b w:val="false"/>
                <w:bCs w:val="false"/>
              </w:rPr>
            </w:pPr>
            <w:r>
              <w:rPr>
                <w:b w:val="false"/>
                <w:bCs w:val="false"/>
              </w:rPr>
            </w:r>
          </w:p>
        </w:tc>
      </w:tr>
      <w:tr>
        <w:trPr>
          <w:trHeight w:val="579" w:hRule="atLeast"/>
        </w:trPr>
        <w:tc>
          <w:tcPr>
            <w:tcW w:w="559" w:type="dxa"/>
            <w:tcBorders/>
            <w:shd w:fill="auto" w:val="clear"/>
          </w:tcPr>
          <w:p>
            <w:pPr>
              <w:pStyle w:val="TableContents"/>
              <w:widowControl/>
              <w:bidi w:val="0"/>
              <w:spacing w:lineRule="auto" w:line="240"/>
              <w:ind w:left="-567" w:right="0" w:firstLine="567"/>
              <w:jc w:val="left"/>
              <w:rPr/>
            </w:pPr>
            <w:r>
              <w:rPr>
                <w:b w:val="false"/>
                <w:bCs w:val="false"/>
                <w:sz w:val="24"/>
                <w:szCs w:val="24"/>
                <w:u w:val="none"/>
              </w:rPr>
              <w:t>7.2</w:t>
            </w:r>
          </w:p>
        </w:tc>
        <w:tc>
          <w:tcPr>
            <w:tcW w:w="8915" w:type="dxa"/>
            <w:tcBorders/>
            <w:shd w:fill="auto" w:val="clear"/>
          </w:tcPr>
          <w:p>
            <w:pPr>
              <w:pStyle w:val="TextBody"/>
              <w:numPr>
                <w:ilvl w:val="0"/>
                <w:numId w:val="6"/>
              </w:numPr>
              <w:spacing w:lineRule="auto" w:line="240" w:before="0" w:after="140"/>
              <w:jc w:val="left"/>
              <w:rPr/>
            </w:pPr>
            <w:r>
              <w:rPr>
                <w:b w:val="false"/>
                <w:bCs w:val="false"/>
              </w:rPr>
              <w:t>Planning decision notifications received:</w:t>
              <w:br/>
              <w:t>None received</w:t>
            </w:r>
          </w:p>
        </w:tc>
      </w:tr>
      <w:tr>
        <w:trPr/>
        <w:tc>
          <w:tcPr>
            <w:tcW w:w="559" w:type="dxa"/>
            <w:tcBorders/>
            <w:shd w:fill="auto" w:val="clear"/>
          </w:tcPr>
          <w:p>
            <w:pPr>
              <w:pStyle w:val="TableContents"/>
              <w:widowControl/>
              <w:bidi w:val="0"/>
              <w:spacing w:lineRule="auto" w:line="240"/>
              <w:ind w:left="-567" w:right="0" w:firstLine="567"/>
              <w:jc w:val="left"/>
              <w:rPr/>
            </w:pPr>
            <w:r>
              <w:rPr>
                <w:b/>
                <w:bCs/>
                <w:sz w:val="24"/>
                <w:szCs w:val="24"/>
                <w:u w:val="none"/>
              </w:rPr>
              <w:t>8.</w:t>
            </w:r>
          </w:p>
        </w:tc>
        <w:tc>
          <w:tcPr>
            <w:tcW w:w="8915" w:type="dxa"/>
            <w:tcBorders/>
            <w:shd w:fill="auto" w:val="clear"/>
          </w:tcPr>
          <w:p>
            <w:pPr>
              <w:pStyle w:val="TableContents"/>
              <w:rPr/>
            </w:pPr>
            <w:r>
              <w:rPr>
                <w:b/>
                <w:bCs/>
                <w:sz w:val="24"/>
                <w:szCs w:val="24"/>
                <w:u w:val="single"/>
              </w:rPr>
              <w:t>PC Administration</w:t>
            </w:r>
          </w:p>
        </w:tc>
      </w:tr>
      <w:tr>
        <w:trPr/>
        <w:tc>
          <w:tcPr>
            <w:tcW w:w="559" w:type="dxa"/>
            <w:tcBorders/>
            <w:shd w:fill="auto" w:val="clear"/>
          </w:tcPr>
          <w:p>
            <w:pPr>
              <w:pStyle w:val="TableContents"/>
              <w:widowControl/>
              <w:bidi w:val="0"/>
              <w:spacing w:lineRule="auto" w:line="240"/>
              <w:ind w:left="-567" w:right="0" w:firstLine="567"/>
              <w:jc w:val="left"/>
              <w:rPr/>
            </w:pPr>
            <w:r>
              <w:rPr/>
              <w:t>8.1</w:t>
            </w:r>
          </w:p>
        </w:tc>
        <w:tc>
          <w:tcPr>
            <w:tcW w:w="8915" w:type="dxa"/>
            <w:tcBorders/>
            <w:shd w:fill="auto" w:val="clear"/>
          </w:tcPr>
          <w:p>
            <w:pPr>
              <w:pStyle w:val="TableContents"/>
              <w:jc w:val="left"/>
              <w:rPr/>
            </w:pPr>
            <w:r>
              <w:rPr>
                <w:u w:val="single"/>
              </w:rPr>
              <w:t>Adoption of Updated Code of Conduct 2019</w:t>
            </w:r>
          </w:p>
          <w:p>
            <w:pPr>
              <w:pStyle w:val="TableContents"/>
              <w:rPr/>
            </w:pPr>
            <w:r>
              <w:rPr/>
              <w:t xml:space="preserve">The updated Code of Conduct had </w:t>
            </w:r>
            <w:r>
              <w:rPr/>
              <w:t xml:space="preserve">initially </w:t>
            </w:r>
            <w:r>
              <w:rPr/>
              <w:t>been discussed at the November 2019 monthly meeting. All Cllrs present without abstention agreed to adopt the updated Code of Conduct, without further discussion.</w:t>
            </w:r>
          </w:p>
        </w:tc>
      </w:tr>
      <w:tr>
        <w:trPr/>
        <w:tc>
          <w:tcPr>
            <w:tcW w:w="559" w:type="dxa"/>
            <w:tcBorders/>
            <w:shd w:fill="auto" w:val="clear"/>
          </w:tcPr>
          <w:p>
            <w:pPr>
              <w:pStyle w:val="TableContents"/>
              <w:widowControl/>
              <w:bidi w:val="0"/>
              <w:spacing w:lineRule="auto" w:line="240"/>
              <w:ind w:left="-567" w:right="0" w:firstLine="567"/>
              <w:jc w:val="left"/>
              <w:rPr/>
            </w:pPr>
            <w:r>
              <w:rPr/>
              <w:t>8.2</w:t>
            </w:r>
          </w:p>
        </w:tc>
        <w:tc>
          <w:tcPr>
            <w:tcW w:w="8915" w:type="dxa"/>
            <w:tcBorders/>
            <w:shd w:fill="auto" w:val="clear"/>
          </w:tcPr>
          <w:p>
            <w:pPr>
              <w:pStyle w:val="TableContents"/>
              <w:rPr/>
            </w:pPr>
            <w:r>
              <w:rPr>
                <w:u w:val="single"/>
              </w:rPr>
              <w:t>Advisory Notes for Councillors and Review of Standing Orders</w:t>
            </w:r>
          </w:p>
          <w:p>
            <w:pPr>
              <w:pStyle w:val="TableContents"/>
              <w:rPr/>
            </w:pPr>
            <w:r>
              <w:rPr/>
              <w:t>Cllrs agreed to defer further discussions on Standing Orders.</w:t>
            </w:r>
          </w:p>
        </w:tc>
      </w:tr>
      <w:tr>
        <w:trPr/>
        <w:tc>
          <w:tcPr>
            <w:tcW w:w="559" w:type="dxa"/>
            <w:tcBorders/>
            <w:shd w:fill="auto" w:val="clear"/>
          </w:tcPr>
          <w:p>
            <w:pPr>
              <w:pStyle w:val="TableContents"/>
              <w:widowControl/>
              <w:bidi w:val="0"/>
              <w:spacing w:lineRule="auto" w:line="240"/>
              <w:ind w:left="-567" w:right="0" w:firstLine="567"/>
              <w:jc w:val="left"/>
              <w:rPr/>
            </w:pPr>
            <w:r>
              <w:rPr/>
              <w:t>8.3</w:t>
            </w:r>
          </w:p>
        </w:tc>
        <w:tc>
          <w:tcPr>
            <w:tcW w:w="8915" w:type="dxa"/>
            <w:tcBorders/>
            <w:shd w:fill="auto" w:val="clear"/>
          </w:tcPr>
          <w:p>
            <w:pPr>
              <w:pStyle w:val="TableContents"/>
              <w:rPr/>
            </w:pPr>
            <w:r>
              <w:rPr>
                <w:u w:val="single"/>
              </w:rPr>
              <w:t>St Helen’s Church – Request for Grant</w:t>
            </w:r>
          </w:p>
          <w:p>
            <w:pPr>
              <w:pStyle w:val="TableContents"/>
              <w:rPr/>
            </w:pPr>
            <w:r>
              <w:rPr/>
              <w:t>The proposed project has ben deferred until the problems associated with the remedial works to the faulty Church Floor, ha</w:t>
            </w:r>
            <w:r>
              <w:rPr/>
              <w:t>ve</w:t>
            </w:r>
            <w:r>
              <w:rPr/>
              <w:t xml:space="preserve"> been completed.</w:t>
            </w:r>
          </w:p>
        </w:tc>
      </w:tr>
      <w:tr>
        <w:trPr/>
        <w:tc>
          <w:tcPr>
            <w:tcW w:w="559" w:type="dxa"/>
            <w:tcBorders/>
            <w:shd w:fill="auto" w:val="clear"/>
          </w:tcPr>
          <w:p>
            <w:pPr>
              <w:pStyle w:val="TableContents"/>
              <w:widowControl/>
              <w:bidi w:val="0"/>
              <w:spacing w:lineRule="auto" w:line="240"/>
              <w:ind w:left="-567" w:right="0" w:firstLine="567"/>
              <w:jc w:val="left"/>
              <w:rPr/>
            </w:pPr>
            <w:r>
              <w:rPr/>
              <w:t>8.4</w:t>
            </w:r>
          </w:p>
        </w:tc>
        <w:tc>
          <w:tcPr>
            <w:tcW w:w="8915" w:type="dxa"/>
            <w:tcBorders/>
            <w:shd w:fill="auto" w:val="clear"/>
          </w:tcPr>
          <w:p>
            <w:pPr>
              <w:pStyle w:val="TableContents"/>
              <w:rPr/>
            </w:pPr>
            <w:r>
              <w:rPr>
                <w:u w:val="single"/>
              </w:rPr>
              <w:t>Mobile Food Vending – Rudgate Crossroads</w:t>
            </w:r>
          </w:p>
          <w:p>
            <w:pPr>
              <w:pStyle w:val="TableContents"/>
              <w:rPr/>
            </w:pPr>
            <w:r>
              <w:rPr/>
              <w:t xml:space="preserve">HBC are liaising with </w:t>
            </w:r>
            <w:r>
              <w:rPr/>
              <w:t xml:space="preserve">NYCC </w:t>
            </w:r>
            <w:r>
              <w:rPr/>
              <w:t xml:space="preserve">Area 6 on the siting of the mobile Food Vending van and the need for </w:t>
            </w:r>
            <w:r>
              <w:rPr/>
              <w:t xml:space="preserve">a </w:t>
            </w:r>
            <w:r>
              <w:rPr/>
              <w:t xml:space="preserve">Planning </w:t>
            </w:r>
            <w:r>
              <w:rPr/>
              <w:t>Application</w:t>
            </w:r>
            <w:r>
              <w:rPr/>
              <w:t>.</w:t>
            </w:r>
          </w:p>
        </w:tc>
      </w:tr>
      <w:tr>
        <w:trPr/>
        <w:tc>
          <w:tcPr>
            <w:tcW w:w="559" w:type="dxa"/>
            <w:tcBorders/>
            <w:shd w:fill="auto" w:val="clear"/>
          </w:tcPr>
          <w:p>
            <w:pPr>
              <w:pStyle w:val="TableContents"/>
              <w:widowControl/>
              <w:bidi w:val="0"/>
              <w:spacing w:lineRule="auto" w:line="240"/>
              <w:ind w:left="-567" w:right="0" w:firstLine="567"/>
              <w:jc w:val="left"/>
              <w:rPr/>
            </w:pPr>
            <w:r>
              <w:rPr/>
              <w:t>8.5</w:t>
            </w:r>
          </w:p>
        </w:tc>
        <w:tc>
          <w:tcPr>
            <w:tcW w:w="8915" w:type="dxa"/>
            <w:tcBorders/>
            <w:shd w:fill="auto" w:val="clear"/>
          </w:tcPr>
          <w:p>
            <w:pPr>
              <w:pStyle w:val="TableContents"/>
              <w:rPr>
                <w:u w:val="single"/>
              </w:rPr>
            </w:pPr>
            <w:r>
              <w:rPr>
                <w:u w:val="single"/>
              </w:rPr>
              <w:t>Tickled Trout (Former Chequers Inn) Car Park Lease</w:t>
            </w:r>
          </w:p>
          <w:p>
            <w:pPr>
              <w:pStyle w:val="TableContents"/>
              <w:rPr/>
            </w:pPr>
            <w:r>
              <w:rPr>
                <w:u w:val="none"/>
              </w:rPr>
              <w:t>No response has been received from the new owners of the Tickled Trout. Confirmation that a direct debit has been placed for payment of the annual lease is still required.  The Clerk was asked to write again and use a recorded delivery service.</w:t>
            </w:r>
          </w:p>
        </w:tc>
      </w:tr>
      <w:tr>
        <w:trPr/>
        <w:tc>
          <w:tcPr>
            <w:tcW w:w="559" w:type="dxa"/>
            <w:tcBorders/>
            <w:shd w:fill="auto" w:val="clear"/>
          </w:tcPr>
          <w:p>
            <w:pPr>
              <w:pStyle w:val="TableContents"/>
              <w:widowControl/>
              <w:bidi w:val="0"/>
              <w:spacing w:lineRule="auto" w:line="240"/>
              <w:ind w:left="-567" w:right="0" w:firstLine="567"/>
              <w:jc w:val="left"/>
              <w:rPr>
                <w:rFonts w:ascii="Calibri" w:hAnsi="Calibri" w:eastAsia="NSimSun" w:cs="Arial"/>
                <w:color w:val="auto"/>
                <w:kern w:val="2"/>
                <w:sz w:val="24"/>
                <w:szCs w:val="24"/>
                <w:lang w:val="en-GB" w:eastAsia="zh-CN" w:bidi="hi-IN"/>
              </w:rPr>
            </w:pPr>
            <w:r>
              <w:rPr>
                <w:rFonts w:eastAsia="NSimSun" w:cs="Arial"/>
                <w:color w:val="auto"/>
                <w:kern w:val="2"/>
                <w:sz w:val="24"/>
                <w:szCs w:val="24"/>
                <w:lang w:val="en-GB" w:eastAsia="zh-CN" w:bidi="hi-IN"/>
              </w:rPr>
              <w:t>8.6</w:t>
            </w:r>
          </w:p>
        </w:tc>
        <w:tc>
          <w:tcPr>
            <w:tcW w:w="8915" w:type="dxa"/>
            <w:tcBorders/>
            <w:shd w:fill="auto" w:val="clear"/>
          </w:tcPr>
          <w:p>
            <w:pPr>
              <w:pStyle w:val="TableContents"/>
              <w:rPr>
                <w:b w:val="false"/>
                <w:b w:val="false"/>
                <w:bCs w:val="false"/>
                <w:u w:val="single"/>
              </w:rPr>
            </w:pPr>
            <w:r>
              <w:rPr>
                <w:b w:val="false"/>
                <w:bCs w:val="false"/>
                <w:u w:val="single"/>
              </w:rPr>
              <w:t>Reversing HBC Waste Trucks West end of Main Street Bickerton</w:t>
            </w:r>
          </w:p>
          <w:p>
            <w:pPr>
              <w:pStyle w:val="TableContents"/>
              <w:rPr>
                <w:b w:val="false"/>
                <w:b w:val="false"/>
                <w:bCs w:val="false"/>
                <w:u w:val="none"/>
              </w:rPr>
            </w:pPr>
            <w:r>
              <w:rPr>
                <w:b w:val="false"/>
                <w:bCs w:val="false"/>
                <w:u w:val="none"/>
              </w:rPr>
              <w:t>Investigations are ongoing.</w:t>
            </w:r>
          </w:p>
        </w:tc>
      </w:tr>
      <w:tr>
        <w:trPr/>
        <w:tc>
          <w:tcPr>
            <w:tcW w:w="559" w:type="dxa"/>
            <w:tcBorders/>
            <w:shd w:fill="auto" w:val="clear"/>
          </w:tcPr>
          <w:p>
            <w:pPr>
              <w:pStyle w:val="TableContents"/>
              <w:widowControl/>
              <w:bidi w:val="0"/>
              <w:spacing w:lineRule="auto" w:line="240"/>
              <w:ind w:left="-567" w:right="0" w:firstLine="567"/>
              <w:jc w:val="left"/>
              <w:rPr>
                <w:rFonts w:ascii="Calibri" w:hAnsi="Calibri" w:eastAsia="NSimSun" w:cs="Arial"/>
                <w:color w:val="auto"/>
                <w:kern w:val="2"/>
                <w:sz w:val="24"/>
                <w:szCs w:val="24"/>
                <w:lang w:val="en-GB" w:eastAsia="zh-CN" w:bidi="hi-IN"/>
              </w:rPr>
            </w:pPr>
            <w:r>
              <w:rPr>
                <w:rFonts w:eastAsia="NSimSun" w:cs="Arial"/>
                <w:color w:val="auto"/>
                <w:kern w:val="2"/>
                <w:sz w:val="24"/>
                <w:szCs w:val="24"/>
                <w:lang w:val="en-GB" w:eastAsia="zh-CN" w:bidi="hi-IN"/>
              </w:rPr>
              <w:t>8.7</w:t>
            </w:r>
          </w:p>
        </w:tc>
        <w:tc>
          <w:tcPr>
            <w:tcW w:w="8915" w:type="dxa"/>
            <w:tcBorders/>
            <w:shd w:fill="auto" w:val="clear"/>
          </w:tcPr>
          <w:p>
            <w:pPr>
              <w:pStyle w:val="TableContents"/>
              <w:rPr>
                <w:b w:val="false"/>
                <w:b w:val="false"/>
                <w:bCs w:val="false"/>
                <w:u w:val="single"/>
              </w:rPr>
            </w:pPr>
            <w:r>
              <w:rPr>
                <w:b w:val="false"/>
                <w:bCs w:val="false"/>
                <w:u w:val="single"/>
              </w:rPr>
              <w:t>Wetherby Civic Society – Presentation</w:t>
            </w:r>
          </w:p>
          <w:p>
            <w:pPr>
              <w:pStyle w:val="TableContents"/>
              <w:rPr/>
            </w:pPr>
            <w:r>
              <w:rPr>
                <w:b w:val="false"/>
                <w:bCs w:val="false"/>
                <w:u w:val="none"/>
              </w:rPr>
              <w:t xml:space="preserve">The Chairman and Clerk had attended </w:t>
            </w:r>
            <w:r>
              <w:rPr>
                <w:b w:val="false"/>
                <w:bCs w:val="false"/>
                <w:u w:val="none"/>
              </w:rPr>
              <w:t>a</w:t>
            </w:r>
            <w:r>
              <w:rPr>
                <w:b w:val="false"/>
                <w:bCs w:val="false"/>
                <w:u w:val="none"/>
              </w:rPr>
              <w:t xml:space="preserve"> presentation and received a copy of </w:t>
            </w:r>
            <w:r>
              <w:rPr>
                <w:b w:val="false"/>
                <w:bCs w:val="false"/>
                <w:u w:val="none"/>
              </w:rPr>
              <w:t xml:space="preserve">the </w:t>
            </w:r>
            <w:r>
              <w:rPr>
                <w:b w:val="false"/>
                <w:bCs w:val="false"/>
                <w:u w:val="none"/>
              </w:rPr>
              <w:t xml:space="preserve"> Booklet </w:t>
            </w:r>
            <w:r>
              <w:rPr>
                <w:b w:val="false"/>
                <w:bCs w:val="false"/>
                <w:u w:val="none"/>
              </w:rPr>
              <w:t>identifying local war memorials</w:t>
            </w:r>
            <w:r>
              <w:rPr>
                <w:b w:val="false"/>
                <w:bCs w:val="false"/>
                <w:u w:val="none"/>
              </w:rPr>
              <w:t>.</w:t>
            </w:r>
          </w:p>
        </w:tc>
      </w:tr>
      <w:tr>
        <w:trPr/>
        <w:tc>
          <w:tcPr>
            <w:tcW w:w="559" w:type="dxa"/>
            <w:tcBorders/>
            <w:shd w:fill="auto" w:val="clear"/>
          </w:tcPr>
          <w:p>
            <w:pPr>
              <w:pStyle w:val="TableContents"/>
              <w:widowControl/>
              <w:bidi w:val="0"/>
              <w:spacing w:lineRule="auto" w:line="240"/>
              <w:ind w:left="-567" w:right="0" w:firstLine="567"/>
              <w:jc w:val="left"/>
              <w:rPr>
                <w:rFonts w:ascii="Calibri" w:hAnsi="Calibri" w:eastAsia="NSimSun" w:cs="Arial"/>
                <w:color w:val="auto"/>
                <w:kern w:val="2"/>
                <w:sz w:val="24"/>
                <w:szCs w:val="24"/>
                <w:lang w:val="en-GB" w:eastAsia="zh-CN" w:bidi="hi-IN"/>
              </w:rPr>
            </w:pPr>
            <w:r>
              <w:rPr>
                <w:rFonts w:eastAsia="NSimSun" w:cs="Arial"/>
                <w:color w:val="auto"/>
                <w:kern w:val="2"/>
                <w:sz w:val="24"/>
                <w:szCs w:val="24"/>
                <w:lang w:val="en-GB" w:eastAsia="zh-CN" w:bidi="hi-IN"/>
              </w:rPr>
              <w:t>8.8</w:t>
            </w:r>
          </w:p>
        </w:tc>
        <w:tc>
          <w:tcPr>
            <w:tcW w:w="8915" w:type="dxa"/>
            <w:tcBorders/>
            <w:shd w:fill="auto" w:val="clear"/>
          </w:tcPr>
          <w:p>
            <w:pPr>
              <w:pStyle w:val="TableContents"/>
              <w:rPr>
                <w:b w:val="false"/>
                <w:b w:val="false"/>
                <w:bCs w:val="false"/>
                <w:u w:val="single"/>
              </w:rPr>
            </w:pPr>
            <w:r>
              <w:rPr>
                <w:b w:val="false"/>
                <w:bCs w:val="false"/>
                <w:u w:val="single"/>
              </w:rPr>
              <w:t>Asset Management – Royal Wedding Seat West End of Main Street Bickerton</w:t>
            </w:r>
          </w:p>
          <w:p>
            <w:pPr>
              <w:pStyle w:val="TableContents"/>
              <w:rPr/>
            </w:pPr>
            <w:r>
              <w:rPr>
                <w:b w:val="false"/>
                <w:bCs w:val="false"/>
                <w:u w:val="none"/>
              </w:rPr>
              <w:t>The Seat to commemorate the wedding of Prince Charles and Princess Diana is in need of refurbishment.  All Cllrs present without abstention, agreed that the work should be undertaken by specialist trades persons, to restore its condition.</w:t>
            </w:r>
          </w:p>
          <w:p>
            <w:pPr>
              <w:pStyle w:val="TableContents"/>
              <w:rPr>
                <w:b w:val="false"/>
                <w:b w:val="false"/>
                <w:bCs w:val="false"/>
                <w:u w:val="single"/>
              </w:rPr>
            </w:pPr>
            <w:r>
              <w:rPr/>
            </w:r>
          </w:p>
          <w:p>
            <w:pPr>
              <w:pStyle w:val="TableContents"/>
              <w:rPr>
                <w:b w:val="false"/>
                <w:b w:val="false"/>
                <w:bCs w:val="false"/>
                <w:u w:val="single"/>
              </w:rPr>
            </w:pPr>
            <w:r>
              <w:rPr/>
            </w:r>
          </w:p>
          <w:p>
            <w:pPr>
              <w:pStyle w:val="TableContents"/>
              <w:rPr>
                <w:b w:val="false"/>
                <w:b w:val="false"/>
                <w:bCs w:val="false"/>
                <w:u w:val="single"/>
              </w:rPr>
            </w:pPr>
            <w:r>
              <w:rPr/>
            </w:r>
          </w:p>
          <w:p>
            <w:pPr>
              <w:pStyle w:val="TableContents"/>
              <w:rPr>
                <w:b w:val="false"/>
                <w:b w:val="false"/>
                <w:bCs w:val="false"/>
                <w:u w:val="single"/>
              </w:rPr>
            </w:pPr>
            <w:r>
              <w:rPr/>
            </w:r>
          </w:p>
          <w:p>
            <w:pPr>
              <w:pStyle w:val="TableContents"/>
              <w:rPr>
                <w:u w:val="none"/>
              </w:rPr>
            </w:pPr>
            <w:r>
              <w:rPr>
                <w:u w:val="none"/>
              </w:rPr>
            </w:r>
          </w:p>
        </w:tc>
      </w:tr>
      <w:tr>
        <w:trPr/>
        <w:tc>
          <w:tcPr>
            <w:tcW w:w="559" w:type="dxa"/>
            <w:tcBorders/>
            <w:shd w:fill="auto" w:val="clear"/>
          </w:tcPr>
          <w:p>
            <w:pPr>
              <w:pStyle w:val="TableContents"/>
              <w:widowControl/>
              <w:bidi w:val="0"/>
              <w:spacing w:lineRule="auto" w:line="240"/>
              <w:ind w:left="-567" w:right="0" w:firstLine="567"/>
              <w:jc w:val="left"/>
              <w:rPr/>
            </w:pPr>
            <w:r>
              <w:rPr>
                <w:b/>
                <w:bCs/>
              </w:rPr>
              <w:t>9.</w:t>
            </w:r>
          </w:p>
        </w:tc>
        <w:tc>
          <w:tcPr>
            <w:tcW w:w="8915" w:type="dxa"/>
            <w:tcBorders/>
            <w:shd w:fill="auto" w:val="clear"/>
          </w:tcPr>
          <w:p>
            <w:pPr>
              <w:pStyle w:val="TableContents"/>
              <w:rPr/>
            </w:pPr>
            <w:r>
              <w:rPr>
                <w:b/>
                <w:bCs/>
                <w:u w:val="single"/>
              </w:rPr>
              <w:t>Councillors Business Items for the next Meeting</w:t>
            </w:r>
          </w:p>
          <w:p>
            <w:pPr>
              <w:pStyle w:val="TableContents"/>
              <w:rPr/>
            </w:pPr>
            <w:r>
              <w:rPr>
                <w:b w:val="false"/>
                <w:bCs w:val="false"/>
                <w:u w:val="none"/>
              </w:rPr>
              <w:t>HBC Parks Department are to be asked to comment on the introduction of wild flowers into grass verges.</w:t>
            </w:r>
          </w:p>
          <w:p>
            <w:pPr>
              <w:pStyle w:val="TableContents"/>
              <w:rPr/>
            </w:pPr>
            <w:r>
              <w:rPr>
                <w:b w:val="false"/>
                <w:bCs w:val="false"/>
                <w:u w:val="none"/>
              </w:rPr>
              <w:t>HBC Parks Department are to be requested to undertake the cutting of grass verges again in the Parish.</w:t>
            </w:r>
          </w:p>
          <w:p>
            <w:pPr>
              <w:pStyle w:val="TableContents"/>
              <w:rPr/>
            </w:pPr>
            <w:r>
              <w:rPr>
                <w:b w:val="false"/>
                <w:bCs w:val="false"/>
                <w:u w:val="none"/>
              </w:rPr>
              <w:t xml:space="preserve">Remedial works to Grass verges west end of Main Street Bickerton where damaged by Haulage Contractor’s Trucks delivering aggregate </w:t>
            </w:r>
            <w:r>
              <w:rPr>
                <w:b w:val="false"/>
                <w:bCs w:val="false"/>
                <w:u w:val="none"/>
              </w:rPr>
              <w:t>to Willowgarth Farm</w:t>
            </w:r>
            <w:r>
              <w:rPr>
                <w:b w:val="false"/>
                <w:bCs w:val="false"/>
                <w:u w:val="none"/>
              </w:rPr>
              <w:t>.</w:t>
            </w:r>
          </w:p>
          <w:p>
            <w:pPr>
              <w:pStyle w:val="TableContents"/>
              <w:rPr>
                <w:b w:val="false"/>
                <w:b w:val="false"/>
                <w:bCs w:val="false"/>
                <w:u w:val="none"/>
              </w:rPr>
            </w:pPr>
            <w:r>
              <w:rPr>
                <w:b w:val="false"/>
                <w:bCs w:val="false"/>
                <w:u w:val="none"/>
              </w:rPr>
            </w:r>
          </w:p>
        </w:tc>
      </w:tr>
      <w:tr>
        <w:trPr/>
        <w:tc>
          <w:tcPr>
            <w:tcW w:w="559" w:type="dxa"/>
            <w:tcBorders/>
            <w:shd w:fill="auto" w:val="clear"/>
          </w:tcPr>
          <w:p>
            <w:pPr>
              <w:pStyle w:val="TableContents"/>
              <w:widowControl/>
              <w:bidi w:val="0"/>
              <w:spacing w:lineRule="auto" w:line="240"/>
              <w:ind w:left="-567" w:right="0" w:firstLine="567"/>
              <w:jc w:val="left"/>
              <w:rPr/>
            </w:pPr>
            <w:r>
              <w:rPr>
                <w:b/>
                <w:bCs/>
                <w:sz w:val="24"/>
                <w:szCs w:val="24"/>
                <w:u w:val="none"/>
              </w:rPr>
              <w:t>11.</w:t>
            </w:r>
          </w:p>
        </w:tc>
        <w:tc>
          <w:tcPr>
            <w:tcW w:w="8915" w:type="dxa"/>
            <w:tcBorders/>
            <w:shd w:fill="auto" w:val="clear"/>
          </w:tcPr>
          <w:p>
            <w:pPr>
              <w:pStyle w:val="TableContents"/>
              <w:rPr/>
            </w:pPr>
            <w:r>
              <w:rPr>
                <w:b/>
                <w:bCs/>
                <w:sz w:val="24"/>
                <w:szCs w:val="24"/>
                <w:u w:val="single"/>
              </w:rPr>
              <w:t>Dates for Future monthly Meetings</w:t>
            </w:r>
          </w:p>
          <w:p>
            <w:pPr>
              <w:pStyle w:val="TableContents"/>
              <w:rPr/>
            </w:pPr>
            <w:r>
              <w:rPr>
                <w:b w:val="false"/>
                <w:bCs w:val="false"/>
                <w:sz w:val="24"/>
                <w:szCs w:val="24"/>
                <w:u w:val="none"/>
              </w:rPr>
              <w:t xml:space="preserve">17 February, 16 March, </w:t>
            </w:r>
            <w:r>
              <w:rPr>
                <w:b/>
                <w:bCs/>
                <w:sz w:val="24"/>
                <w:szCs w:val="24"/>
                <w:u w:val="none"/>
              </w:rPr>
              <w:t>13 April,</w:t>
            </w:r>
            <w:r>
              <w:rPr>
                <w:b w:val="false"/>
                <w:bCs w:val="false"/>
                <w:sz w:val="24"/>
                <w:szCs w:val="24"/>
                <w:u w:val="none"/>
              </w:rPr>
              <w:t xml:space="preserve"> 18 May, 15 June, </w:t>
            </w:r>
            <w:r>
              <w:rPr>
                <w:b/>
                <w:bCs/>
                <w:sz w:val="24"/>
                <w:szCs w:val="24"/>
                <w:u w:val="none"/>
              </w:rPr>
              <w:t xml:space="preserve">13 July 2020 </w:t>
            </w:r>
            <w:r>
              <w:rPr>
                <w:b w:val="false"/>
                <w:bCs w:val="false"/>
                <w:sz w:val="24"/>
                <w:szCs w:val="24"/>
                <w:u w:val="none"/>
              </w:rPr>
              <w:t xml:space="preserve">(Highlighted dates avoid conflict with HMRC ‘s PAYE payment cycle) </w:t>
            </w:r>
          </w:p>
          <w:p>
            <w:pPr>
              <w:pStyle w:val="TableContents"/>
              <w:rPr/>
            </w:pPr>
            <w:r>
              <w:rPr>
                <w:b w:val="false"/>
                <w:bCs w:val="false"/>
                <w:sz w:val="24"/>
                <w:szCs w:val="24"/>
                <w:u w:val="none"/>
              </w:rPr>
              <w:t xml:space="preserve"> </w:t>
            </w:r>
            <w:r>
              <w:rPr>
                <w:b w:val="false"/>
                <w:bCs w:val="false"/>
                <w:sz w:val="24"/>
                <w:szCs w:val="24"/>
                <w:u w:val="none"/>
              </w:rPr>
              <w:t>All meetings to be held in Tockwith School at 7.30 pm (subject to availability).</w:t>
            </w:r>
          </w:p>
        </w:tc>
      </w:tr>
      <w:tr>
        <w:trPr/>
        <w:tc>
          <w:tcPr>
            <w:tcW w:w="559" w:type="dxa"/>
            <w:tcBorders/>
            <w:shd w:fill="auto" w:val="clear"/>
          </w:tcPr>
          <w:p>
            <w:pPr>
              <w:pStyle w:val="TableContents"/>
              <w:widowControl/>
              <w:bidi w:val="0"/>
              <w:spacing w:lineRule="auto" w:line="240"/>
              <w:ind w:left="-567" w:right="0" w:firstLine="567"/>
              <w:jc w:val="left"/>
              <w:rPr>
                <w:rFonts w:ascii="Calibri" w:hAnsi="Calibri"/>
                <w:b/>
                <w:b/>
                <w:bCs/>
                <w:sz w:val="24"/>
                <w:szCs w:val="24"/>
              </w:rPr>
            </w:pPr>
            <w:r>
              <w:rPr>
                <w:b/>
                <w:bCs/>
                <w:sz w:val="24"/>
                <w:szCs w:val="24"/>
              </w:rPr>
            </w:r>
          </w:p>
        </w:tc>
        <w:tc>
          <w:tcPr>
            <w:tcW w:w="8915" w:type="dxa"/>
            <w:tcBorders/>
            <w:shd w:fill="auto" w:val="clear"/>
          </w:tcPr>
          <w:p>
            <w:pPr>
              <w:pStyle w:val="TableContents"/>
              <w:rPr>
                <w:rFonts w:ascii="Calibri" w:hAnsi="Calibri"/>
                <w:b/>
                <w:b/>
                <w:bCs/>
                <w:sz w:val="24"/>
                <w:szCs w:val="24"/>
                <w:u w:val="single"/>
              </w:rPr>
            </w:pPr>
            <w:r>
              <w:rPr>
                <w:b/>
                <w:bCs/>
                <w:sz w:val="24"/>
                <w:szCs w:val="24"/>
                <w:u w:val="single"/>
              </w:rPr>
            </w:r>
          </w:p>
        </w:tc>
      </w:tr>
    </w:tbl>
    <w:p>
      <w:pPr>
        <w:pStyle w:val="Normal"/>
        <w:widowControl/>
        <w:tabs>
          <w:tab w:val="clear" w:pos="709"/>
          <w:tab w:val="right" w:pos="7938" w:leader="none"/>
        </w:tabs>
        <w:bidi w:val="0"/>
        <w:ind w:left="-567" w:right="-794" w:hanging="0"/>
        <w:jc w:val="left"/>
        <w:rPr>
          <w:b w:val="false"/>
          <w:b w:val="false"/>
          <w:bCs w:val="false"/>
          <w:sz w:val="18"/>
          <w:szCs w:val="18"/>
          <w:u w:val="none"/>
        </w:rPr>
      </w:pPr>
      <w:r>
        <w:rPr>
          <w:b w:val="false"/>
          <w:bCs w:val="false"/>
          <w:sz w:val="18"/>
          <w:szCs w:val="18"/>
          <w:u w:val="none"/>
        </w:rPr>
      </w:r>
    </w:p>
    <w:p>
      <w:pPr>
        <w:pStyle w:val="Normal"/>
        <w:widowControl/>
        <w:tabs>
          <w:tab w:val="clear" w:pos="709"/>
          <w:tab w:val="right" w:pos="7938" w:leader="none"/>
        </w:tabs>
        <w:bidi w:val="0"/>
        <w:ind w:left="-567" w:right="-794" w:hanging="0"/>
        <w:jc w:val="left"/>
        <w:rPr>
          <w:b w:val="false"/>
          <w:b w:val="false"/>
          <w:bCs w:val="false"/>
          <w:sz w:val="18"/>
          <w:szCs w:val="18"/>
          <w:u w:val="none"/>
        </w:rPr>
      </w:pPr>
      <w:r>
        <w:rPr>
          <w:b w:val="false"/>
          <w:bCs w:val="false"/>
          <w:sz w:val="18"/>
          <w:szCs w:val="18"/>
          <w:u w:val="none"/>
        </w:rPr>
      </w:r>
    </w:p>
    <w:p>
      <w:pPr>
        <w:pStyle w:val="Normal"/>
        <w:widowControl/>
        <w:tabs>
          <w:tab w:val="clear" w:pos="709"/>
          <w:tab w:val="right" w:pos="7938" w:leader="none"/>
        </w:tabs>
        <w:bidi w:val="0"/>
        <w:ind w:left="-567" w:right="-794" w:hanging="0"/>
        <w:jc w:val="left"/>
        <w:rPr/>
      </w:pPr>
      <w:r>
        <w:rPr>
          <w:b w:val="false"/>
          <w:bCs w:val="false"/>
          <w:sz w:val="18"/>
          <w:szCs w:val="18"/>
          <w:u w:val="none"/>
        </w:rPr>
        <w:t xml:space="preserve">Clerk to the Parish Council:  L T I Grant Tel.: 01423 359961 Email: </w:t>
      </w:r>
      <w:hyperlink r:id="rId3">
        <w:r>
          <w:rPr>
            <w:rStyle w:val="InternetLink"/>
            <w:b w:val="false"/>
            <w:bCs w:val="false"/>
            <w:sz w:val="18"/>
            <w:szCs w:val="18"/>
            <w:u w:val="none"/>
          </w:rPr>
          <w:t>biltonandbickertonpc@hotmail.co.uk</w:t>
        </w:r>
      </w:hyperlink>
      <w:r>
        <w:rPr>
          <w:b w:val="false"/>
          <w:bCs w:val="false"/>
          <w:sz w:val="18"/>
          <w:szCs w:val="18"/>
          <w:u w:val="none"/>
        </w:rPr>
        <w:t xml:space="preserve"> </w:t>
      </w:r>
    </w:p>
    <w:p>
      <w:pPr>
        <w:pStyle w:val="Normal"/>
        <w:widowControl/>
        <w:tabs>
          <w:tab w:val="clear" w:pos="709"/>
          <w:tab w:val="right" w:pos="7938" w:leader="none"/>
        </w:tabs>
        <w:bidi w:val="0"/>
        <w:ind w:left="-567" w:right="-794" w:hanging="0"/>
        <w:jc w:val="left"/>
        <w:rPr/>
      </w:pPr>
      <w:r>
        <w:rPr>
          <w:b w:val="false"/>
          <w:bCs w:val="false"/>
          <w:sz w:val="22"/>
          <w:szCs w:val="22"/>
          <w:u w:val="none"/>
        </w:rPr>
        <w:t xml:space="preserve">PARISH WEBSITE </w:t>
      </w:r>
      <w:hyperlink r:id="rId4">
        <w:r>
          <w:rPr>
            <w:rStyle w:val="InternetLink"/>
            <w:b w:val="false"/>
            <w:bCs w:val="false"/>
            <w:sz w:val="22"/>
            <w:szCs w:val="22"/>
            <w:u w:val="none"/>
          </w:rPr>
          <w:t>www.biltonandbickerton-pc.gov.uk</w:t>
        </w:r>
      </w:hyperlink>
      <w:r>
        <w:rPr>
          <w:b w:val="false"/>
          <w:bCs w:val="false"/>
          <w:sz w:val="22"/>
          <w:szCs w:val="22"/>
          <w:u w:val="none"/>
        </w:rPr>
        <w:t xml:space="preserve"> </w:t>
      </w:r>
    </w:p>
    <w:sectPr>
      <w:headerReference w:type="default" r:id="rId5"/>
      <w:footerReference w:type="default" r:id="rId6"/>
      <w:type w:val="nextPage"/>
      <w:pgSz w:w="11906" w:h="16838"/>
      <w:pgMar w:left="1500" w:right="1121" w:header="1134" w:top="1427" w:footer="1134" w:bottom="171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OpenSymbol">
    <w:altName w:val="Arial Unicode MS"/>
    <w:charset w:val="01"/>
    <w:family w:val="swiss"/>
    <w:pitch w:val="default"/>
  </w:font>
  <w:font w:name="Wingdings">
    <w:charset w:val="02"/>
    <w:family w:val="auto"/>
    <w:pitch w:val="variable"/>
  </w:font>
  <w:font w:name="OpenSymbol">
    <w:altName w:val="Arial Unicode M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jc w:val="cen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tabs>
          <w:tab w:val="num" w:pos="720"/>
        </w:tabs>
        <w:ind w:left="720" w:hanging="360"/>
      </w:pPr>
      <w:rPr>
        <w:rFonts w:ascii="Wingdings" w:hAnsi="Wingdings" w:cs="Wingdings" w:hint="default"/>
        <w:rFonts w:cs="OpenSymbol"/>
      </w:rPr>
    </w:lvl>
    <w:lvl w:ilvl="1">
      <w:start w:val="1"/>
      <w:numFmt w:val="bullet"/>
      <w:lvlText w:val=""/>
      <w:lvlJc w:val="left"/>
      <w:pPr>
        <w:tabs>
          <w:tab w:val="num" w:pos="1080"/>
        </w:tabs>
        <w:ind w:left="1080" w:hanging="360"/>
      </w:pPr>
      <w:rPr>
        <w:rFonts w:ascii="Wingdings" w:hAnsi="Wingdings" w:cs="Wingdings" w:hint="default"/>
        <w:rFonts w:cs="OpenSymbol"/>
      </w:rPr>
    </w:lvl>
    <w:lvl w:ilvl="2">
      <w:start w:val="1"/>
      <w:numFmt w:val="bullet"/>
      <w:lvlText w:val=""/>
      <w:lvlJc w:val="left"/>
      <w:pPr>
        <w:tabs>
          <w:tab w:val="num" w:pos="1440"/>
        </w:tabs>
        <w:ind w:left="1440" w:hanging="360"/>
      </w:pPr>
      <w:rPr>
        <w:rFonts w:ascii="Wingdings" w:hAnsi="Wingdings" w:cs="Wingdings" w:hint="default"/>
        <w:rFonts w:cs="OpenSymbol"/>
      </w:rPr>
    </w:lvl>
    <w:lvl w:ilvl="3">
      <w:start w:val="1"/>
      <w:numFmt w:val="bullet"/>
      <w:lvlText w:val=""/>
      <w:lvlJc w:val="left"/>
      <w:pPr>
        <w:tabs>
          <w:tab w:val="num" w:pos="1800"/>
        </w:tabs>
        <w:ind w:left="1800" w:hanging="360"/>
      </w:pPr>
      <w:rPr>
        <w:rFonts w:ascii="Wingdings" w:hAnsi="Wingdings" w:cs="Wingdings" w:hint="default"/>
        <w:rFonts w:cs="OpenSymbol"/>
      </w:rPr>
    </w:lvl>
    <w:lvl w:ilvl="4">
      <w:start w:val="1"/>
      <w:numFmt w:val="bullet"/>
      <w:lvlText w:val=""/>
      <w:lvlJc w:val="left"/>
      <w:pPr>
        <w:tabs>
          <w:tab w:val="num" w:pos="2160"/>
        </w:tabs>
        <w:ind w:left="2160" w:hanging="360"/>
      </w:pPr>
      <w:rPr>
        <w:rFonts w:ascii="Wingdings" w:hAnsi="Wingdings" w:cs="Wingdings" w:hint="default"/>
        <w:rFonts w:cs="OpenSymbol"/>
      </w:rPr>
    </w:lvl>
    <w:lvl w:ilvl="5">
      <w:start w:val="1"/>
      <w:numFmt w:val="bullet"/>
      <w:lvlText w:val=""/>
      <w:lvlJc w:val="left"/>
      <w:pPr>
        <w:tabs>
          <w:tab w:val="num" w:pos="2520"/>
        </w:tabs>
        <w:ind w:left="2520" w:hanging="360"/>
      </w:pPr>
      <w:rPr>
        <w:rFonts w:ascii="Wingdings" w:hAnsi="Wingdings" w:cs="Wingdings" w:hint="default"/>
        <w:rFonts w:cs="OpenSymbol"/>
      </w:rPr>
    </w:lvl>
    <w:lvl w:ilvl="6">
      <w:start w:val="1"/>
      <w:numFmt w:val="bullet"/>
      <w:lvlText w:val=""/>
      <w:lvlJc w:val="left"/>
      <w:pPr>
        <w:tabs>
          <w:tab w:val="num" w:pos="2880"/>
        </w:tabs>
        <w:ind w:left="2880" w:hanging="360"/>
      </w:pPr>
      <w:rPr>
        <w:rFonts w:ascii="Wingdings" w:hAnsi="Wingdings" w:cs="Wingdings" w:hint="default"/>
        <w:rFonts w:cs="OpenSymbol"/>
      </w:rPr>
    </w:lvl>
    <w:lvl w:ilvl="7">
      <w:start w:val="1"/>
      <w:numFmt w:val="bullet"/>
      <w:lvlText w:val=""/>
      <w:lvlJc w:val="left"/>
      <w:pPr>
        <w:tabs>
          <w:tab w:val="num" w:pos="3240"/>
        </w:tabs>
        <w:ind w:left="3240" w:hanging="360"/>
      </w:pPr>
      <w:rPr>
        <w:rFonts w:ascii="Wingdings" w:hAnsi="Wingdings" w:cs="Wingdings" w:hint="default"/>
        <w:rFonts w:cs="OpenSymbol"/>
      </w:rPr>
    </w:lvl>
    <w:lvl w:ilvl="8">
      <w:start w:val="1"/>
      <w:numFmt w:val="bullet"/>
      <w:lvlText w:val=""/>
      <w:lvlJc w:val="left"/>
      <w:pPr>
        <w:tabs>
          <w:tab w:val="num" w:pos="3600"/>
        </w:tabs>
        <w:ind w:left="3600" w:hanging="360"/>
      </w:pPr>
      <w:rPr>
        <w:rFonts w:ascii="Wingdings" w:hAnsi="Wingdings" w:cs="Wingdings" w:hint="default"/>
        <w:rFonts w:cs="OpenSymbol"/>
      </w:rPr>
    </w:lvl>
  </w:abstractNum>
  <w:abstractNum w:abstractNumId="2">
    <w:lvl w:ilvl="0">
      <w:start w:val="1"/>
      <w:numFmt w:val="bullet"/>
      <w:lvlText w:val=""/>
      <w:lvlJc w:val="left"/>
      <w:pPr>
        <w:tabs>
          <w:tab w:val="num" w:pos="720"/>
        </w:tabs>
        <w:ind w:left="720" w:hanging="360"/>
      </w:pPr>
      <w:rPr>
        <w:rFonts w:ascii="Wingdings" w:hAnsi="Wingdings" w:cs="Wingdings" w:hint="default"/>
        <w:rFonts w:cs="OpenSymbol"/>
      </w:rPr>
    </w:lvl>
    <w:lvl w:ilvl="1">
      <w:start w:val="1"/>
      <w:numFmt w:val="bullet"/>
      <w:lvlText w:val=""/>
      <w:lvlJc w:val="left"/>
      <w:pPr>
        <w:tabs>
          <w:tab w:val="num" w:pos="1080"/>
        </w:tabs>
        <w:ind w:left="1080" w:hanging="360"/>
      </w:pPr>
      <w:rPr>
        <w:rFonts w:ascii="Wingdings" w:hAnsi="Wingdings" w:cs="Wingdings" w:hint="default"/>
        <w:rFonts w:cs="OpenSymbol"/>
      </w:rPr>
    </w:lvl>
    <w:lvl w:ilvl="2">
      <w:start w:val="1"/>
      <w:numFmt w:val="bullet"/>
      <w:lvlText w:val=""/>
      <w:lvlJc w:val="left"/>
      <w:pPr>
        <w:tabs>
          <w:tab w:val="num" w:pos="1440"/>
        </w:tabs>
        <w:ind w:left="1440" w:hanging="360"/>
      </w:pPr>
      <w:rPr>
        <w:rFonts w:ascii="Wingdings" w:hAnsi="Wingdings" w:cs="Wingdings" w:hint="default"/>
        <w:rFonts w:cs="OpenSymbol"/>
      </w:rPr>
    </w:lvl>
    <w:lvl w:ilvl="3">
      <w:start w:val="1"/>
      <w:numFmt w:val="bullet"/>
      <w:lvlText w:val=""/>
      <w:lvlJc w:val="left"/>
      <w:pPr>
        <w:tabs>
          <w:tab w:val="num" w:pos="1800"/>
        </w:tabs>
        <w:ind w:left="1800" w:hanging="360"/>
      </w:pPr>
      <w:rPr>
        <w:rFonts w:ascii="Wingdings" w:hAnsi="Wingdings" w:cs="Wingdings" w:hint="default"/>
        <w:rFonts w:cs="OpenSymbol"/>
      </w:rPr>
    </w:lvl>
    <w:lvl w:ilvl="4">
      <w:start w:val="1"/>
      <w:numFmt w:val="bullet"/>
      <w:lvlText w:val=""/>
      <w:lvlJc w:val="left"/>
      <w:pPr>
        <w:tabs>
          <w:tab w:val="num" w:pos="2160"/>
        </w:tabs>
        <w:ind w:left="2160" w:hanging="360"/>
      </w:pPr>
      <w:rPr>
        <w:rFonts w:ascii="Wingdings" w:hAnsi="Wingdings" w:cs="Wingdings" w:hint="default"/>
        <w:rFonts w:cs="OpenSymbol"/>
      </w:rPr>
    </w:lvl>
    <w:lvl w:ilvl="5">
      <w:start w:val="1"/>
      <w:numFmt w:val="bullet"/>
      <w:lvlText w:val=""/>
      <w:lvlJc w:val="left"/>
      <w:pPr>
        <w:tabs>
          <w:tab w:val="num" w:pos="2520"/>
        </w:tabs>
        <w:ind w:left="2520" w:hanging="360"/>
      </w:pPr>
      <w:rPr>
        <w:rFonts w:ascii="Wingdings" w:hAnsi="Wingdings" w:cs="Wingdings" w:hint="default"/>
        <w:rFonts w:cs="OpenSymbol"/>
      </w:rPr>
    </w:lvl>
    <w:lvl w:ilvl="6">
      <w:start w:val="1"/>
      <w:numFmt w:val="bullet"/>
      <w:lvlText w:val=""/>
      <w:lvlJc w:val="left"/>
      <w:pPr>
        <w:tabs>
          <w:tab w:val="num" w:pos="2880"/>
        </w:tabs>
        <w:ind w:left="2880" w:hanging="360"/>
      </w:pPr>
      <w:rPr>
        <w:rFonts w:ascii="Wingdings" w:hAnsi="Wingdings" w:cs="Wingdings" w:hint="default"/>
        <w:rFonts w:cs="OpenSymbol"/>
      </w:rPr>
    </w:lvl>
    <w:lvl w:ilvl="7">
      <w:start w:val="1"/>
      <w:numFmt w:val="bullet"/>
      <w:lvlText w:val=""/>
      <w:lvlJc w:val="left"/>
      <w:pPr>
        <w:tabs>
          <w:tab w:val="num" w:pos="3240"/>
        </w:tabs>
        <w:ind w:left="3240" w:hanging="360"/>
      </w:pPr>
      <w:rPr>
        <w:rFonts w:ascii="Wingdings" w:hAnsi="Wingdings" w:cs="Wingdings" w:hint="default"/>
        <w:rFonts w:cs="OpenSymbol"/>
      </w:rPr>
    </w:lvl>
    <w:lvl w:ilvl="8">
      <w:start w:val="1"/>
      <w:numFmt w:val="bullet"/>
      <w:lvlText w:val=""/>
      <w:lvlJc w:val="left"/>
      <w:pPr>
        <w:tabs>
          <w:tab w:val="num" w:pos="3600"/>
        </w:tabs>
        <w:ind w:left="3600" w:hanging="360"/>
      </w:pPr>
      <w:rPr>
        <w:rFonts w:ascii="Wingdings" w:hAnsi="Wingdings" w:cs="Wingdings" w:hint="default"/>
        <w:rFonts w:cs="OpenSymbol"/>
      </w:rPr>
    </w:lvl>
  </w:abstractNum>
  <w:abstractNum w:abstractNumId="3">
    <w:lvl w:ilvl="0">
      <w:start w:val="1"/>
      <w:numFmt w:val="bullet"/>
      <w:lvlText w:val=""/>
      <w:lvlJc w:val="left"/>
      <w:pPr>
        <w:tabs>
          <w:tab w:val="num" w:pos="720"/>
        </w:tabs>
        <w:ind w:left="720" w:hanging="360"/>
      </w:pPr>
      <w:rPr>
        <w:rFonts w:ascii="Wingdings" w:hAnsi="Wingdings" w:cs="Wingdings" w:hint="default"/>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4">
    <w:lvl w:ilvl="0">
      <w:start w:val="1"/>
      <w:numFmt w:val="bullet"/>
      <w:lvlText w:val=""/>
      <w:lvlJc w:val="left"/>
      <w:pPr>
        <w:tabs>
          <w:tab w:val="num" w:pos="720"/>
        </w:tabs>
        <w:ind w:left="720" w:hanging="360"/>
      </w:pPr>
      <w:rPr>
        <w:rFonts w:ascii="Wingdings" w:hAnsi="Wingdings" w:cs="Wingdings" w:hint="default"/>
        <w:rFonts w:cs="OpenSymbol"/>
      </w:rPr>
    </w:lvl>
    <w:lvl w:ilvl="1">
      <w:start w:val="1"/>
      <w:numFmt w:val="bullet"/>
      <w:lvlText w:val=""/>
      <w:lvlJc w:val="left"/>
      <w:pPr>
        <w:tabs>
          <w:tab w:val="num" w:pos="1080"/>
        </w:tabs>
        <w:ind w:left="1080" w:hanging="360"/>
      </w:pPr>
      <w:rPr>
        <w:rFonts w:ascii="Wingdings" w:hAnsi="Wingdings" w:cs="Wingdings" w:hint="default"/>
        <w:rFonts w:cs="OpenSymbol"/>
      </w:rPr>
    </w:lvl>
    <w:lvl w:ilvl="2">
      <w:start w:val="1"/>
      <w:numFmt w:val="bullet"/>
      <w:lvlText w:val=""/>
      <w:lvlJc w:val="left"/>
      <w:pPr>
        <w:tabs>
          <w:tab w:val="num" w:pos="1440"/>
        </w:tabs>
        <w:ind w:left="1440" w:hanging="360"/>
      </w:pPr>
      <w:rPr>
        <w:rFonts w:ascii="Wingdings" w:hAnsi="Wingdings" w:cs="Wingdings" w:hint="default"/>
        <w:rFonts w:cs="OpenSymbol"/>
      </w:rPr>
    </w:lvl>
    <w:lvl w:ilvl="3">
      <w:start w:val="1"/>
      <w:numFmt w:val="bullet"/>
      <w:lvlText w:val=""/>
      <w:lvlJc w:val="left"/>
      <w:pPr>
        <w:tabs>
          <w:tab w:val="num" w:pos="1800"/>
        </w:tabs>
        <w:ind w:left="1800" w:hanging="360"/>
      </w:pPr>
      <w:rPr>
        <w:rFonts w:ascii="Wingdings" w:hAnsi="Wingdings" w:cs="Wingdings" w:hint="default"/>
        <w:rFonts w:cs="OpenSymbol"/>
      </w:rPr>
    </w:lvl>
    <w:lvl w:ilvl="4">
      <w:start w:val="1"/>
      <w:numFmt w:val="bullet"/>
      <w:lvlText w:val=""/>
      <w:lvlJc w:val="left"/>
      <w:pPr>
        <w:tabs>
          <w:tab w:val="num" w:pos="2160"/>
        </w:tabs>
        <w:ind w:left="2160" w:hanging="360"/>
      </w:pPr>
      <w:rPr>
        <w:rFonts w:ascii="Wingdings" w:hAnsi="Wingdings" w:cs="Wingdings" w:hint="default"/>
        <w:rFonts w:cs="OpenSymbol"/>
      </w:rPr>
    </w:lvl>
    <w:lvl w:ilvl="5">
      <w:start w:val="1"/>
      <w:numFmt w:val="bullet"/>
      <w:lvlText w:val=""/>
      <w:lvlJc w:val="left"/>
      <w:pPr>
        <w:tabs>
          <w:tab w:val="num" w:pos="2520"/>
        </w:tabs>
        <w:ind w:left="2520" w:hanging="360"/>
      </w:pPr>
      <w:rPr>
        <w:rFonts w:ascii="Wingdings" w:hAnsi="Wingdings" w:cs="Wingdings" w:hint="default"/>
        <w:rFonts w:cs="OpenSymbol"/>
      </w:rPr>
    </w:lvl>
    <w:lvl w:ilvl="6">
      <w:start w:val="1"/>
      <w:numFmt w:val="bullet"/>
      <w:lvlText w:val=""/>
      <w:lvlJc w:val="left"/>
      <w:pPr>
        <w:tabs>
          <w:tab w:val="num" w:pos="2880"/>
        </w:tabs>
        <w:ind w:left="2880" w:hanging="360"/>
      </w:pPr>
      <w:rPr>
        <w:rFonts w:ascii="Wingdings" w:hAnsi="Wingdings" w:cs="Wingdings" w:hint="default"/>
        <w:rFonts w:cs="OpenSymbol"/>
      </w:rPr>
    </w:lvl>
    <w:lvl w:ilvl="7">
      <w:start w:val="1"/>
      <w:numFmt w:val="bullet"/>
      <w:lvlText w:val=""/>
      <w:lvlJc w:val="left"/>
      <w:pPr>
        <w:tabs>
          <w:tab w:val="num" w:pos="3240"/>
        </w:tabs>
        <w:ind w:left="3240" w:hanging="360"/>
      </w:pPr>
      <w:rPr>
        <w:rFonts w:ascii="Wingdings" w:hAnsi="Wingdings" w:cs="Wingdings" w:hint="default"/>
        <w:rFonts w:cs="OpenSymbol"/>
      </w:rPr>
    </w:lvl>
    <w:lvl w:ilvl="8">
      <w:start w:val="1"/>
      <w:numFmt w:val="bullet"/>
      <w:lvlText w:val=""/>
      <w:lvlJc w:val="left"/>
      <w:pPr>
        <w:tabs>
          <w:tab w:val="num" w:pos="3600"/>
        </w:tabs>
        <w:ind w:left="3600" w:hanging="360"/>
      </w:pPr>
      <w:rPr>
        <w:rFonts w:ascii="Wingdings" w:hAnsi="Wingdings" w:cs="Wingdings" w:hint="default"/>
        <w:rFonts w:cs="OpenSymbol"/>
      </w:rPr>
    </w:lvl>
  </w:abstractNum>
  <w:abstractNum w:abstractNumId="5">
    <w:lvl w:ilvl="0">
      <w:start w:val="1"/>
      <w:numFmt w:val="bullet"/>
      <w:lvlText w:val=""/>
      <w:lvlJc w:val="left"/>
      <w:pPr>
        <w:tabs>
          <w:tab w:val="num" w:pos="720"/>
        </w:tabs>
        <w:ind w:left="720" w:hanging="360"/>
      </w:pPr>
      <w:rPr>
        <w:rFonts w:ascii="Wingdings" w:hAnsi="Wingdings" w:cs="Wingdings" w:hint="default"/>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6">
    <w:lvl w:ilvl="0">
      <w:start w:val="1"/>
      <w:numFmt w:val="bullet"/>
      <w:lvlText w:val=""/>
      <w:lvlJc w:val="left"/>
      <w:pPr>
        <w:tabs>
          <w:tab w:val="num" w:pos="720"/>
        </w:tabs>
        <w:ind w:left="720" w:hanging="360"/>
      </w:pPr>
      <w:rPr>
        <w:rFonts w:ascii="Wingdings" w:hAnsi="Wingdings" w:cs="Wingdings" w:hint="default"/>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7">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kern w:val="2"/>
        <w:sz w:val="20"/>
        <w:szCs w:val="24"/>
        <w:lang w:val="en-GB" w:eastAsia="zh-CN" w:bidi="hi-IN"/>
      </w:rPr>
    </w:rPrDefault>
    <w:pPrDefault>
      <w:pPr/>
    </w:pPrDefault>
  </w:docDefaults>
  <w:style w:type="paragraph" w:styleId="Normal">
    <w:name w:val="Normal"/>
    <w:qFormat/>
    <w:pPr>
      <w:widowControl/>
      <w:overflowPunct w:val="false"/>
      <w:bidi w:val="0"/>
      <w:jc w:val="left"/>
    </w:pPr>
    <w:rPr>
      <w:rFonts w:ascii="Calibri" w:hAnsi="Calibri" w:eastAsia="NSimSun" w:cs="Arial"/>
      <w:color w:val="auto"/>
      <w:kern w:val="2"/>
      <w:sz w:val="24"/>
      <w:szCs w:val="24"/>
      <w:lang w:val="en-GB" w:eastAsia="zh-CN" w:bidi="hi-IN"/>
    </w:rPr>
  </w:style>
  <w:style w:type="paragraph" w:styleId="Heading1">
    <w:name w:val="Heading 1"/>
    <w:basedOn w:val="Normal"/>
    <w:next w:val="Normal"/>
    <w:qFormat/>
    <w:pPr>
      <w:keepNext w:val="true"/>
      <w:outlineLvl w:val="0"/>
    </w:pPr>
    <w:rPr>
      <w:b/>
      <w:u w:val="single"/>
    </w:rPr>
  </w:style>
  <w:style w:type="character" w:styleId="DefaultParagraphFont">
    <w:name w:val="Default Paragraph Font"/>
    <w:qFormat/>
    <w:rPr/>
  </w:style>
  <w:style w:type="character" w:styleId="InternetLink">
    <w:name w:val="Internet Link"/>
    <w:basedOn w:val="DefaultParagraphFont"/>
    <w:rPr>
      <w:color w:val="0000FF"/>
      <w:u w:val="single"/>
    </w:rPr>
  </w:style>
  <w:style w:type="character" w:styleId="Bullets">
    <w:name w:val="Bullets"/>
    <w:qFormat/>
    <w:rPr>
      <w:rFonts w:ascii="OpenSymbol" w:hAnsi="OpenSymbol" w:eastAsia="OpenSymbol" w:cs="OpenSymbol"/>
    </w:rPr>
  </w:style>
  <w:style w:type="character" w:styleId="NumberingSymbols">
    <w:name w:val="Numbering Symbols"/>
    <w:qFormat/>
    <w:rPr/>
  </w:style>
  <w:style w:type="paragraph" w:styleId="Heading">
    <w:name w:val="Heading"/>
    <w:basedOn w:val="Normal"/>
    <w:next w:val="TextBody"/>
    <w:qFormat/>
    <w:pPr>
      <w:keepNext w:val="true"/>
      <w:spacing w:before="240" w:after="120"/>
    </w:pPr>
    <w:rPr>
      <w:rFonts w:ascii="Calibri" w:hAnsi="Calibr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Calibri" w:hAnsi="Calibri" w:cs="Arial"/>
    </w:rPr>
  </w:style>
  <w:style w:type="paragraph" w:styleId="Caption">
    <w:name w:val="Caption"/>
    <w:basedOn w:val="Normal"/>
    <w:qFormat/>
    <w:pPr>
      <w:suppressLineNumbers/>
      <w:spacing w:before="120" w:after="120"/>
    </w:pPr>
    <w:rPr>
      <w:rFonts w:ascii="Calibri" w:hAnsi="Calibri" w:cs="Arial"/>
      <w:i/>
      <w:iCs/>
      <w:sz w:val="24"/>
      <w:szCs w:val="24"/>
    </w:rPr>
  </w:style>
  <w:style w:type="paragraph" w:styleId="Index">
    <w:name w:val="Index"/>
    <w:basedOn w:val="Normal"/>
    <w:qFormat/>
    <w:pPr>
      <w:suppressLineNumbers/>
    </w:pPr>
    <w:rPr>
      <w:rFonts w:ascii="Calibri" w:hAnsi="Calibri" w:cs="Arial"/>
    </w:rPr>
  </w:style>
  <w:style w:type="paragraph" w:styleId="TableContents">
    <w:name w:val="Table Contents"/>
    <w:basedOn w:val="Normal"/>
    <w:qFormat/>
    <w:pPr/>
    <w:rPr/>
  </w:style>
  <w:style w:type="paragraph" w:styleId="HeaderandFooter">
    <w:name w:val="Header and Footer"/>
    <w:basedOn w:val="Normal"/>
    <w:qFormat/>
    <w:pPr/>
    <w:rPr/>
  </w:style>
  <w:style w:type="paragraph" w:styleId="Header">
    <w:name w:val="Header"/>
    <w:basedOn w:val="Normal"/>
    <w:pPr>
      <w:suppressLineNumbers/>
      <w:tabs>
        <w:tab w:val="clear" w:pos="709"/>
        <w:tab w:val="center" w:pos="4819" w:leader="none"/>
        <w:tab w:val="right" w:pos="9638" w:leader="none"/>
      </w:tabs>
    </w:pPr>
    <w:rPr/>
  </w:style>
  <w:style w:type="paragraph" w:styleId="TableHeading">
    <w:name w:val="Table Heading"/>
    <w:basedOn w:val="TableContents"/>
    <w:qFormat/>
    <w:pPr>
      <w:suppressLineNumbers/>
      <w:jc w:val="center"/>
    </w:pPr>
    <w:rPr>
      <w:b/>
      <w:bCs/>
    </w:rPr>
  </w:style>
  <w:style w:type="paragraph" w:styleId="Footer">
    <w:name w:val="Footer"/>
    <w:basedOn w:val="Normal"/>
    <w:pPr>
      <w:suppressLineNumbers/>
      <w:tabs>
        <w:tab w:val="clear" w:pos="709"/>
        <w:tab w:val="center" w:pos="4642" w:leader="none"/>
        <w:tab w:val="right" w:pos="9285" w:leader="none"/>
      </w:tab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police.uk/" TargetMode="External"/><Relationship Id="rId3" Type="http://schemas.openxmlformats.org/officeDocument/2006/relationships/hyperlink" Target="mailto:biltonandbickertonpc@hotmail.co.uk" TargetMode="External"/><Relationship Id="rId4" Type="http://schemas.openxmlformats.org/officeDocument/2006/relationships/hyperlink" Target="http://www.biltonandbickerton-pc.gov.uk/"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484</TotalTime>
  <Application>LibreOffice/6.3.1.2$Windows_X86_64 LibreOffice_project/b79626edf0065ac373bd1df5c28bd630b4424273</Application>
  <Pages>3</Pages>
  <Words>673</Words>
  <Characters>3544</Characters>
  <CharactersWithSpaces>4164</CharactersWithSpaces>
  <Paragraphs>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2019-01-18T11:58:32Z</dcterms:created>
  <dc:creator/>
  <dc:description/>
  <dc:language>en-GB</dc:language>
  <cp:lastModifiedBy/>
  <cp:lastPrinted>2019-11-19T14:25:58Z</cp:lastPrinted>
  <dcterms:modified xsi:type="dcterms:W3CDTF">2020-01-15T16:55:53Z</dcterms:modified>
  <cp:revision>99</cp:revision>
  <dc:subject/>
  <dc:title/>
</cp:coreProperties>
</file>