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overflowPunct w:val="true"/>
        <w:spacing w:lineRule="auto" w:line="240" w:before="0" w:after="0"/>
        <w:textAlignment w:val="baseline"/>
        <w:rPr>
          <w:rFonts w:eastAsia="Times New Roman" w:cs="Arial"/>
          <w:b/>
          <w:b/>
          <w:szCs w:val="21"/>
        </w:rPr>
      </w:pPr>
      <w:bookmarkStart w:id="0" w:name="_GoBack"/>
      <w:bookmarkEnd w:id="0"/>
      <w:r>
        <w:rPr>
          <w:rFonts w:eastAsia="Times New Roman" w:cs="Arial"/>
          <w:b/>
          <w:szCs w:val="21"/>
        </w:rPr>
        <w:t>WHAT SMALLER AUTHORITIES NEED TO DO TO ADVERTISE THE PERIOD DURING WHICH ELECTORS AND INTERESTED PERSONS MAY EXERCISE RIGHTS RELATING TO THE ANNUAL ACCOUNTS</w:t>
      </w:r>
    </w:p>
    <w:p>
      <w:pPr>
        <w:pStyle w:val="Normal"/>
        <w:overflowPunct w:val="true"/>
        <w:spacing w:lineRule="auto" w:line="240" w:before="0" w:after="0"/>
        <w:textAlignment w:val="baseline"/>
        <w:rPr>
          <w:rFonts w:eastAsia="Times New Roman" w:cs="Arial"/>
          <w:b/>
          <w:b/>
          <w:szCs w:val="21"/>
        </w:rPr>
      </w:pPr>
      <w:r>
        <w:rPr>
          <w:rFonts w:eastAsia="Times New Roman" w:cs="Arial"/>
          <w:b/>
          <w:szCs w:val="21"/>
        </w:rPr>
      </w:r>
    </w:p>
    <w:p>
      <w:pPr>
        <w:pStyle w:val="Normal"/>
        <w:overflowPunct w:val="true"/>
        <w:spacing w:lineRule="auto" w:line="240" w:before="0" w:after="0"/>
        <w:textAlignment w:val="baseline"/>
        <w:rPr/>
      </w:pPr>
      <w:r>
        <w:rPr>
          <w:rFonts w:eastAsia="Times New Roman" w:cs="Arial"/>
          <w:szCs w:val="21"/>
        </w:rPr>
        <w:t xml:space="preserve">The </w:t>
      </w:r>
      <w:hyperlink r:id="rId2">
        <w:r>
          <w:rPr>
            <w:rStyle w:val="InternetLink"/>
            <w:rFonts w:eastAsia="Times New Roman" w:cs="Arial"/>
            <w:szCs w:val="21"/>
          </w:rPr>
          <w:t>Local Audit and Accountability Act 2014</w:t>
        </w:r>
      </w:hyperlink>
      <w:r>
        <w:rPr>
          <w:rFonts w:eastAsia="Times New Roman" w:cs="Arial"/>
          <w:szCs w:val="21"/>
        </w:rPr>
        <w:t xml:space="preserve"> and the </w:t>
      </w:r>
      <w:hyperlink r:id="rId3">
        <w:r>
          <w:rPr>
            <w:rStyle w:val="InternetLink"/>
            <w:rFonts w:eastAsia="Times New Roman" w:cs="Arial"/>
            <w:szCs w:val="21"/>
          </w:rPr>
          <w:t>Accounts and Audit Regulations 2015</w:t>
        </w:r>
      </w:hyperlink>
      <w:r>
        <w:rPr>
          <w:rFonts w:eastAsia="Times New Roman" w:cs="Arial"/>
          <w:szCs w:val="21"/>
        </w:rPr>
        <w:t xml:space="preserve"> require that:</w:t>
      </w:r>
    </w:p>
    <w:p>
      <w:pPr>
        <w:pStyle w:val="Normal"/>
        <w:overflowPunct w:val="true"/>
        <w:spacing w:lineRule="auto" w:line="240" w:before="0" w:after="0"/>
        <w:textAlignment w:val="baseline"/>
        <w:rPr>
          <w:rFonts w:eastAsia="Times New Roman" w:cs="Arial"/>
          <w:szCs w:val="21"/>
        </w:rPr>
      </w:pPr>
      <w:r>
        <w:rPr>
          <w:rFonts w:eastAsia="Times New Roman" w:cs="Arial"/>
          <w:szCs w:val="21"/>
        </w:rPr>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1. The</w:t>
      </w:r>
      <w:r>
        <w:rPr/>
        <w:t xml:space="preserve"> accounting records for the financial year to which the audit relates and all books, deeds, contracts, bills, vouchers, receipts and other documents relating to those records</w:t>
      </w:r>
      <w:r>
        <w:rPr>
          <w:rFonts w:eastAsia="Times New Roman" w:cs="Arial"/>
          <w:szCs w:val="21"/>
        </w:rPr>
        <w:t xml:space="preserve"> must be made available for inspection by any person interested, during a period of 30 working days set by the smaller authority and including the first 10 working days of July.</w:t>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 xml:space="preserve">2. </w:t>
      </w:r>
      <w:r>
        <w:rPr/>
        <w:t>The period referred to in paragraph (1) starts with the day on which the period for the exercise of public rights is treated as having been commenced i.e. the day following the day on which all of the obligations in paragraph (3) below have been fulfilled.</w:t>
      </w:r>
    </w:p>
    <w:p>
      <w:pPr>
        <w:pStyle w:val="Normal"/>
        <w:rPr/>
      </w:pPr>
      <w:r>
        <w:rPr>
          <w:rFonts w:eastAsia="Times New Roman" w:cs="Arial"/>
          <w:szCs w:val="21"/>
        </w:rPr>
        <w:t xml:space="preserve">3. </w:t>
      </w:r>
      <w:r>
        <w:rPr/>
        <w:t>The responsible financial officer for a relevant authority must, on behalf of that authority, publish (</w:t>
      </w:r>
      <w:r>
        <w:rPr>
          <w:b/>
        </w:rPr>
        <w:t>which must include publication on the authority’s website</w:t>
      </w:r>
      <w:r>
        <w:rPr/>
        <w:t>):</w:t>
      </w:r>
    </w:p>
    <w:p>
      <w:pPr>
        <w:pStyle w:val="Normal"/>
        <w:ind w:left="720" w:hanging="0"/>
        <w:rPr/>
      </w:pPr>
      <w:r>
        <w:rPr/>
        <w:t xml:space="preserve">(a) the Accounting Statements (i.e. Section 2 of either Part 2 or 3, whichever is relevant, of the </w:t>
      </w:r>
      <w:r>
        <w:rPr>
          <w:szCs w:val="21"/>
        </w:rPr>
        <w:t>Annual Governance &amp; Accountability Return</w:t>
      </w:r>
      <w:r>
        <w:rPr/>
        <w:t xml:space="preserve"> (AGAR)), accompanied by:</w:t>
      </w:r>
    </w:p>
    <w:p>
      <w:pPr>
        <w:pStyle w:val="Normal"/>
        <w:ind w:left="1440" w:hanging="0"/>
        <w:rPr/>
      </w:pPr>
      <w:r>
        <w:rPr/>
        <w:t xml:space="preserve">(i) a declaration, signed by that officer to the effect that the status of the Accounting Statements are unaudited and that the Accounting Statements as published may be subject to change; </w:t>
      </w:r>
    </w:p>
    <w:p>
      <w:pPr>
        <w:pStyle w:val="Normal"/>
        <w:ind w:left="1440" w:hanging="0"/>
        <w:rPr/>
      </w:pPr>
      <w:r>
        <w:rPr/>
        <w:t>(ii) the Annual Governance Statement (i.e. Section 1 of either Part 2 or Part 3, whichever is relevant, of the AGAR); and</w:t>
      </w:r>
    </w:p>
    <w:p>
      <w:pPr>
        <w:pStyle w:val="Normal"/>
        <w:ind w:left="720" w:hanging="0"/>
        <w:rPr/>
      </w:pPr>
      <w:r>
        <w:rPr/>
        <w:t>(b) a statement that sets out—</w:t>
      </w:r>
    </w:p>
    <w:p>
      <w:pPr>
        <w:pStyle w:val="Normal"/>
        <w:ind w:left="1440" w:hanging="0"/>
        <w:rPr/>
      </w:pPr>
      <w:r>
        <w:rPr/>
        <w:t>(i) the period for the exercise of public rights;</w:t>
      </w:r>
    </w:p>
    <w:p>
      <w:pPr>
        <w:pStyle w:val="Normal"/>
        <w:ind w:left="1440" w:hanging="0"/>
        <w:rPr/>
      </w:pPr>
      <w:r>
        <w:rPr/>
        <w:t>(ii) details of the manner in which notice should be given of an intention to inspect the accounting records and other documents;</w:t>
      </w:r>
    </w:p>
    <w:p>
      <w:pPr>
        <w:pStyle w:val="Normal"/>
        <w:ind w:left="1440" w:hanging="0"/>
        <w:rPr/>
      </w:pPr>
      <w:r>
        <w:rPr/>
        <w:t>(iii) the name and address of the local auditor;</w:t>
      </w:r>
    </w:p>
    <w:p>
      <w:pPr>
        <w:pStyle w:val="Normal"/>
        <w:overflowPunct w:val="true"/>
        <w:spacing w:lineRule="auto" w:line="240" w:before="0" w:after="120"/>
        <w:ind w:left="1440" w:hanging="0"/>
        <w:textAlignment w:val="baseline"/>
        <w:rPr>
          <w:rFonts w:eastAsia="Times New Roman" w:cs="Arial"/>
          <w:szCs w:val="21"/>
        </w:rPr>
      </w:pPr>
      <w:r>
        <w:rPr/>
        <w:t xml:space="preserve">(iv) the provisions contained in section 26 (inspection of documents etc.) and section 27 (right to make objections at audit) of the Act, as they have effect in relation to the authority in question; </w:t>
      </w:r>
      <w:r>
        <w:rPr>
          <w:rFonts w:eastAsia="Times New Roman" w:cs="Arial"/>
          <w:szCs w:val="21"/>
        </w:rPr>
        <w:t xml:space="preserve"> </w:t>
      </w:r>
    </w:p>
    <w:p>
      <w:pPr>
        <w:pStyle w:val="Normal"/>
        <w:overflowPunct w:val="true"/>
        <w:spacing w:lineRule="auto" w:line="240" w:before="0" w:after="0"/>
        <w:textAlignment w:val="baseline"/>
        <w:rPr>
          <w:rFonts w:eastAsia="Times New Roman" w:cs="Arial"/>
          <w:szCs w:val="21"/>
        </w:rPr>
      </w:pPr>
      <w:r>
        <w:rPr>
          <w:rFonts w:eastAsia="Times New Roman" w:cs="Arial"/>
          <w:szCs w:val="21"/>
        </w:rPr>
      </w:r>
    </w:p>
    <w:p>
      <w:pPr>
        <w:pStyle w:val="Normal"/>
        <w:overflowPunct w:val="true"/>
        <w:spacing w:lineRule="auto" w:line="240" w:before="0" w:after="0"/>
        <w:textAlignment w:val="baseline"/>
        <w:rPr>
          <w:rFonts w:eastAsia="Times New Roman" w:cs="Arial"/>
          <w:b/>
          <w:b/>
          <w:szCs w:val="21"/>
        </w:rPr>
      </w:pPr>
      <w:r>
        <w:rPr>
          <w:rFonts w:eastAsia="Times New Roman" w:cs="Arial"/>
          <w:b/>
          <w:szCs w:val="21"/>
        </w:rPr>
        <w:t>HOW DO YOU DO IT?</w:t>
      </w:r>
    </w:p>
    <w:p>
      <w:pPr>
        <w:pStyle w:val="Normal"/>
        <w:overflowPunct w:val="true"/>
        <w:spacing w:lineRule="auto" w:line="240" w:before="0" w:after="0"/>
        <w:textAlignment w:val="baseline"/>
        <w:rPr>
          <w:rFonts w:eastAsia="Times New Roman" w:cs="Arial"/>
          <w:szCs w:val="21"/>
        </w:rPr>
      </w:pPr>
      <w:r>
        <w:rPr>
          <w:rFonts w:eastAsia="Times New Roman" w:cs="Arial"/>
          <w:szCs w:val="21"/>
        </w:rPr>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1. You will meet statutory requirements if you fully and accurately complete the notice of public rights pro forma in this document, and</w:t>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2. Publish (</w:t>
      </w:r>
      <w:r>
        <w:rPr>
          <w:rFonts w:eastAsia="Times New Roman" w:cs="Arial"/>
          <w:b/>
          <w:szCs w:val="21"/>
        </w:rPr>
        <w:t>including publication on the smaller authority’s website</w:t>
      </w:r>
      <w:r>
        <w:rPr>
          <w:rFonts w:eastAsia="Times New Roman" w:cs="Arial"/>
          <w:szCs w:val="21"/>
        </w:rPr>
        <w:t>) the following documents, the day before the public rights period commences:</w:t>
      </w:r>
    </w:p>
    <w:p>
      <w:pPr>
        <w:pStyle w:val="ListParagraph"/>
        <w:numPr>
          <w:ilvl w:val="0"/>
          <w:numId w:val="2"/>
        </w:numPr>
        <w:tabs>
          <w:tab w:val="clear" w:pos="720"/>
          <w:tab w:val="left" w:pos="284" w:leader="none"/>
          <w:tab w:val="left" w:pos="709" w:leader="none"/>
        </w:tabs>
        <w:spacing w:before="0" w:after="120"/>
        <w:contextualSpacing/>
        <w:jc w:val="both"/>
        <w:rPr>
          <w:szCs w:val="21"/>
        </w:rPr>
      </w:pPr>
      <w:r>
        <w:rPr>
          <w:szCs w:val="21"/>
        </w:rPr>
        <w:t>the approved Sections 1 and 2 of either Part 2 or 3, whichever is relevant to your smaller authority, of the AGAR; and</w:t>
      </w:r>
    </w:p>
    <w:p>
      <w:pPr>
        <w:pStyle w:val="ListParagraph"/>
        <w:numPr>
          <w:ilvl w:val="0"/>
          <w:numId w:val="2"/>
        </w:numPr>
        <w:tabs>
          <w:tab w:val="clear" w:pos="720"/>
          <w:tab w:val="left" w:pos="284" w:leader="none"/>
          <w:tab w:val="left" w:pos="709" w:leader="none"/>
        </w:tabs>
        <w:spacing w:before="0" w:after="120"/>
        <w:contextualSpacing/>
        <w:jc w:val="both"/>
        <w:rPr>
          <w:szCs w:val="21"/>
        </w:rPr>
      </w:pPr>
      <w:r>
        <w:rPr>
          <w:szCs w:val="21"/>
        </w:rPr>
        <w:t xml:space="preserve">the completed Notice of Public Rights and Publication of Unaudited Annual Governance &amp; Accountability Return. Please note that we have pre-completed it with the following </w:t>
      </w:r>
      <w:r>
        <w:rPr>
          <w:b/>
          <w:szCs w:val="21"/>
        </w:rPr>
        <w:t>suggested</w:t>
      </w:r>
      <w:r>
        <w:rPr>
          <w:szCs w:val="21"/>
        </w:rPr>
        <w:t xml:space="preserve"> dates: Monday 17 June – Friday 26 July 2019. (The latest possible dates that comply with the statutory requirements are Monday 1 July – Friday 9 August 2019); and </w:t>
      </w:r>
    </w:p>
    <w:p>
      <w:pPr>
        <w:pStyle w:val="ListParagraph"/>
        <w:numPr>
          <w:ilvl w:val="0"/>
          <w:numId w:val="2"/>
        </w:numPr>
        <w:tabs>
          <w:tab w:val="clear" w:pos="720"/>
          <w:tab w:val="left" w:pos="284" w:leader="none"/>
          <w:tab w:val="left" w:pos="709" w:leader="none"/>
        </w:tabs>
        <w:spacing w:before="0" w:after="120"/>
        <w:contextualSpacing/>
        <w:jc w:val="both"/>
        <w:rPr>
          <w:szCs w:val="21"/>
        </w:rPr>
      </w:pPr>
      <w:r>
        <w:rPr>
          <w:szCs w:val="21"/>
        </w:rPr>
        <w:t>the notes which accompany the Notice (Local authority accounts: a summary of your rights).</w:t>
      </w:r>
    </w:p>
    <w:p>
      <w:pPr>
        <w:pStyle w:val="Normal"/>
        <w:spacing w:lineRule="auto" w:line="240" w:before="0" w:after="0"/>
        <w:jc w:val="center"/>
        <w:rPr/>
      </w:pPr>
      <w:r>
        <w:rPr>
          <w:rFonts w:eastAsia="Times New Roman" w:cs="Arial"/>
          <w:b/>
          <w:sz w:val="16"/>
          <w:szCs w:val="16"/>
        </w:rPr>
        <w:t xml:space="preserve">    </w:t>
      </w:r>
      <w:r>
        <w:rPr>
          <w:rFonts w:eastAsia="Times New Roman" w:cs="Arial"/>
          <w:b/>
          <w:sz w:val="28"/>
          <w:szCs w:val="28"/>
        </w:rPr>
        <w:t>Wighill Parish Council</w:t>
      </w:r>
    </w:p>
    <w:p>
      <w:pPr>
        <w:pStyle w:val="Normal"/>
        <w:spacing w:lineRule="auto" w:line="240" w:before="0" w:after="0"/>
        <w:jc w:val="center"/>
        <w:rPr>
          <w:rFonts w:eastAsia="Times New Roman" w:cs="Arial"/>
          <w:b/>
          <w:b/>
          <w:szCs w:val="21"/>
        </w:rPr>
      </w:pPr>
      <w:r>
        <w:rPr>
          <w:rFonts w:eastAsia="Times New Roman" w:cs="Arial"/>
          <w:b/>
          <w:szCs w:val="21"/>
        </w:rPr>
      </w:r>
    </w:p>
    <w:p>
      <w:pPr>
        <w:pStyle w:val="Normal"/>
        <w:overflowPunct w:val="true"/>
        <w:spacing w:lineRule="auto" w:line="240" w:before="0" w:after="120"/>
        <w:ind w:left="1701" w:right="1627" w:hanging="0"/>
        <w:jc w:val="center"/>
        <w:textAlignment w:val="baseline"/>
        <w:rPr/>
      </w:pPr>
      <w:r>
        <w:rPr>
          <w:rFonts w:eastAsia="Times New Roman" w:cs="Arial"/>
          <w:b/>
          <w:sz w:val="24"/>
          <w:szCs w:val="24"/>
        </w:rPr>
        <w:t>NOTICE OF PUBLIC RIGHTS AND PUBLICATION OF UNAUDITED ANNUAL GOVERNANCE &amp; ACCOUNTABILITY RETURN</w:t>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ACCOUNTS FOR THE YEAR ENDED 31 MARCH 2019</w:t>
      </w:r>
    </w:p>
    <w:p>
      <w:pPr>
        <w:pStyle w:val="Normal"/>
        <w:overflowPunct w:val="true"/>
        <w:spacing w:lineRule="auto" w:line="240" w:before="0" w:after="0"/>
        <w:textAlignment w:val="baseline"/>
        <w:rPr>
          <w:rFonts w:eastAsia="Times New Roman" w:cs="Arial"/>
          <w:szCs w:val="21"/>
        </w:rPr>
      </w:pPr>
      <w:r>
        <w:rPr>
          <w:rFonts w:eastAsia="Times New Roman" w:cs="Arial"/>
          <w:szCs w:val="21"/>
        </w:rPr>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 xml:space="preserve">Local Audit and Accountability Act 2014 Sections 26 and 27 </w:t>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The Accounts and Audit Regulations 2015 (SI 2015/234)</w:t>
      </w:r>
    </w:p>
    <w:tbl>
      <w:tblPr>
        <w:tblW w:w="10031"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firstRow="1" w:noVBand="1" w:lastRow="0" w:firstColumn="1" w:lastColumn="0" w:noHBand="0" w:val="04a0"/>
      </w:tblPr>
      <w:tblGrid>
        <w:gridCol w:w="6911"/>
        <w:gridCol w:w="3119"/>
      </w:tblGrid>
      <w:tr>
        <w:trPr/>
        <w:tc>
          <w:tcPr>
            <w:tcW w:w="69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overflowPunct w:val="true"/>
              <w:spacing w:lineRule="auto" w:line="240" w:before="0" w:after="0"/>
              <w:jc w:val="center"/>
              <w:textAlignment w:val="baseline"/>
              <w:rPr>
                <w:rFonts w:eastAsia="Times New Roman" w:cs="Arial"/>
                <w:b/>
                <w:b/>
                <w:sz w:val="24"/>
                <w:szCs w:val="24"/>
              </w:rPr>
            </w:pPr>
            <w:r>
              <w:rPr>
                <w:rFonts w:eastAsia="Times New Roman" w:cs="Arial"/>
                <w:b/>
                <w:sz w:val="24"/>
                <w:szCs w:val="24"/>
              </w:rPr>
              <w:t>NOTICE</w:t>
            </w:r>
          </w:p>
        </w:tc>
        <w:tc>
          <w:tcPr>
            <w:tcW w:w="311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overflowPunct w:val="true"/>
              <w:spacing w:lineRule="auto" w:line="240" w:before="0" w:after="0"/>
              <w:jc w:val="center"/>
              <w:textAlignment w:val="baseline"/>
              <w:rPr>
                <w:rFonts w:eastAsia="Times New Roman" w:cs="Arial"/>
                <w:szCs w:val="21"/>
              </w:rPr>
            </w:pPr>
            <w:r>
              <w:rPr>
                <w:rFonts w:eastAsia="Times New Roman" w:cs="Arial"/>
                <w:szCs w:val="21"/>
              </w:rPr>
              <w:t>NOTES</w:t>
            </w:r>
          </w:p>
        </w:tc>
      </w:tr>
      <w:tr>
        <w:trPr/>
        <w:tc>
          <w:tcPr>
            <w:tcW w:w="691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overflowPunct w:val="true"/>
              <w:spacing w:lineRule="auto" w:line="240" w:before="0" w:after="240"/>
              <w:jc w:val="left"/>
              <w:textAlignment w:val="baseline"/>
              <w:rPr/>
            </w:pPr>
            <w:r>
              <w:rPr>
                <w:rFonts w:eastAsia="Times New Roman" w:cs="Arial"/>
                <w:b/>
                <w:sz w:val="18"/>
                <w:szCs w:val="18"/>
              </w:rPr>
              <w:t>1. Date of announcement 18 May 2019</w:t>
            </w:r>
          </w:p>
          <w:p>
            <w:pPr>
              <w:pStyle w:val="Normal"/>
              <w:overflowPunct w:val="true"/>
              <w:spacing w:lineRule="auto" w:line="240" w:before="0" w:after="0"/>
              <w:contextualSpacing/>
              <w:textAlignment w:val="baseline"/>
              <w:rPr>
                <w:rFonts w:eastAsia="Times New Roman" w:cs="Arial"/>
                <w:b/>
                <w:b/>
                <w:sz w:val="18"/>
                <w:szCs w:val="18"/>
              </w:rPr>
            </w:pPr>
            <w:r>
              <w:rPr>
                <w:rFonts w:eastAsia="Times New Roman" w:cs="Arial"/>
                <w:b/>
                <w:sz w:val="18"/>
                <w:szCs w:val="18"/>
              </w:rPr>
              <w:t xml:space="preserve">2. Each year the smaller authority’s Annual Governance and Accountability Return (AGAR) needs to be reviewed by an external auditor appointed by Smaller Authorities’ Audit Appointments Ltd.  The unaudited AGAR has been published with this notice. As it has yet to be reviewed by the appointed auditor, it is subject to change as a result of that review. </w:t>
            </w:r>
          </w:p>
          <w:p>
            <w:pPr>
              <w:pStyle w:val="Normal"/>
              <w:overflowPunct w:val="true"/>
              <w:spacing w:lineRule="auto" w:line="240" w:before="0" w:after="0"/>
              <w:contextualSpacing/>
              <w:textAlignment w:val="baseline"/>
              <w:rPr>
                <w:rFonts w:eastAsia="Times New Roman" w:cs="Arial"/>
                <w:b/>
                <w:b/>
                <w:sz w:val="18"/>
                <w:szCs w:val="18"/>
              </w:rPr>
            </w:pPr>
            <w:r>
              <w:rPr>
                <w:rFonts w:eastAsia="Times New Roman" w:cs="Arial"/>
                <w:b/>
                <w:sz w:val="18"/>
                <w:szCs w:val="18"/>
              </w:rPr>
              <w:t>Any person interested has the right to inspect and make copies of the accounting records for the financial year to which the audit relates and all books, deeds, contracts, bills, vouchers, receipts and other documents relating to those records must be made available for inspection by any person interested. For the year ended 31 March 2019, these documents will be available on reasonable notice by application to:</w:t>
            </w:r>
          </w:p>
          <w:p>
            <w:pPr>
              <w:pStyle w:val="Normal"/>
              <w:overflowPunct w:val="true"/>
              <w:spacing w:lineRule="auto" w:line="240" w:before="0" w:after="0"/>
              <w:textAlignment w:val="baseline"/>
              <w:rPr>
                <w:rFonts w:eastAsia="Times New Roman" w:cs="Arial"/>
                <w:b/>
                <w:b/>
                <w:sz w:val="18"/>
                <w:szCs w:val="18"/>
              </w:rPr>
            </w:pPr>
            <w:r>
              <w:rPr>
                <w:rFonts w:eastAsia="Times New Roman" w:cs="Arial"/>
                <w:b/>
                <w:sz w:val="18"/>
                <w:szCs w:val="18"/>
              </w:rPr>
            </w:r>
          </w:p>
          <w:p>
            <w:pPr>
              <w:pStyle w:val="Normal"/>
              <w:tabs>
                <w:tab w:val="clear" w:pos="720"/>
                <w:tab w:val="left" w:pos="284" w:leader="none"/>
                <w:tab w:val="left" w:pos="709" w:leader="none"/>
              </w:tabs>
              <w:overflowPunct w:val="true"/>
              <w:spacing w:lineRule="auto" w:line="240" w:before="0" w:after="0"/>
              <w:ind w:left="360" w:hanging="0"/>
              <w:textAlignment w:val="baseline"/>
              <w:rPr/>
            </w:pPr>
            <w:r>
              <w:rPr>
                <w:rFonts w:eastAsia="Times New Roman" w:cs="Arial"/>
                <w:sz w:val="18"/>
                <w:szCs w:val="18"/>
              </w:rPr>
              <w:t xml:space="preserve"> </w:t>
            </w:r>
            <w:r>
              <w:rPr>
                <w:rFonts w:eastAsia="Times New Roman" w:cs="Arial"/>
                <w:sz w:val="18"/>
                <w:szCs w:val="18"/>
              </w:rPr>
              <w:tab/>
            </w:r>
            <w:r>
              <w:rPr>
                <w:rFonts w:eastAsia="Times New Roman" w:cs="Arial"/>
                <w:b/>
                <w:bCs/>
                <w:sz w:val="18"/>
                <w:szCs w:val="18"/>
              </w:rPr>
              <w:t>Trevor Grant Clerk/RFO</w:t>
            </w:r>
          </w:p>
          <w:p>
            <w:pPr>
              <w:pStyle w:val="Normal"/>
              <w:tabs>
                <w:tab w:val="clear" w:pos="720"/>
                <w:tab w:val="left" w:pos="284" w:leader="none"/>
                <w:tab w:val="left" w:pos="709" w:leader="none"/>
              </w:tabs>
              <w:overflowPunct w:val="true"/>
              <w:spacing w:lineRule="auto" w:line="240" w:before="0" w:after="0"/>
              <w:ind w:left="360" w:hanging="0"/>
              <w:textAlignment w:val="baseline"/>
              <w:rPr>
                <w:b/>
                <w:b/>
                <w:bCs/>
              </w:rPr>
            </w:pPr>
            <w:r>
              <w:rPr>
                <w:rFonts w:eastAsia="Times New Roman" w:cs="Arial"/>
                <w:b/>
                <w:bCs/>
                <w:sz w:val="18"/>
                <w:szCs w:val="18"/>
              </w:rPr>
              <w:t xml:space="preserve">        </w:t>
            </w:r>
            <w:r>
              <w:rPr>
                <w:rFonts w:eastAsia="Times New Roman" w:cs="Arial"/>
                <w:b/>
                <w:bCs/>
                <w:sz w:val="18"/>
                <w:szCs w:val="18"/>
              </w:rPr>
              <w:t>Wighill Parish Councillors</w:t>
            </w:r>
          </w:p>
          <w:p>
            <w:pPr>
              <w:pStyle w:val="Normal"/>
              <w:tabs>
                <w:tab w:val="clear" w:pos="720"/>
                <w:tab w:val="left" w:pos="284" w:leader="none"/>
                <w:tab w:val="left" w:pos="709" w:leader="none"/>
              </w:tabs>
              <w:overflowPunct w:val="true"/>
              <w:spacing w:lineRule="auto" w:line="240" w:before="0" w:after="0"/>
              <w:ind w:left="360" w:hanging="0"/>
              <w:textAlignment w:val="baseline"/>
              <w:rPr>
                <w:b/>
                <w:b/>
                <w:bCs/>
              </w:rPr>
            </w:pPr>
            <w:r>
              <w:rPr>
                <w:rFonts w:eastAsia="Times New Roman" w:cs="Arial"/>
                <w:b/>
                <w:bCs/>
                <w:sz w:val="18"/>
                <w:szCs w:val="18"/>
              </w:rPr>
              <w:t xml:space="preserve">        </w:t>
            </w:r>
            <w:r>
              <w:rPr>
                <w:rFonts w:eastAsia="Times New Roman" w:cs="Arial"/>
                <w:b/>
                <w:bCs/>
                <w:sz w:val="18"/>
                <w:szCs w:val="18"/>
              </w:rPr>
              <w:t>Stone Croft Tom Cat Lane Bickerton LS22 5ES</w:t>
            </w:r>
          </w:p>
          <w:p>
            <w:pPr>
              <w:pStyle w:val="Normal"/>
              <w:tabs>
                <w:tab w:val="clear" w:pos="720"/>
                <w:tab w:val="left" w:pos="284" w:leader="none"/>
                <w:tab w:val="left" w:pos="709" w:leader="none"/>
              </w:tabs>
              <w:overflowPunct w:val="true"/>
              <w:spacing w:lineRule="auto" w:line="240" w:before="0" w:after="0"/>
              <w:ind w:left="360" w:hanging="0"/>
              <w:textAlignment w:val="baseline"/>
              <w:rPr>
                <w:b/>
                <w:b/>
                <w:bCs/>
              </w:rPr>
            </w:pPr>
            <w:r>
              <w:rPr>
                <w:rFonts w:eastAsia="Times New Roman" w:cs="Arial"/>
                <w:b/>
                <w:bCs/>
                <w:sz w:val="18"/>
                <w:szCs w:val="18"/>
              </w:rPr>
              <w:t xml:space="preserve">         </w:t>
            </w:r>
            <w:r>
              <w:rPr>
                <w:rFonts w:eastAsia="Times New Roman" w:cs="Arial"/>
                <w:b/>
                <w:bCs/>
                <w:sz w:val="18"/>
                <w:szCs w:val="18"/>
              </w:rPr>
              <w:t>Tel: 01423 359961 (10.00am to 4.00pm)</w:t>
            </w:r>
          </w:p>
          <w:p>
            <w:pPr>
              <w:pStyle w:val="Normal"/>
              <w:tabs>
                <w:tab w:val="clear" w:pos="720"/>
                <w:tab w:val="left" w:pos="284" w:leader="none"/>
                <w:tab w:val="left" w:pos="709" w:leader="none"/>
              </w:tabs>
              <w:overflowPunct w:val="true"/>
              <w:spacing w:lineRule="auto" w:line="240" w:before="0" w:after="0"/>
              <w:ind w:left="360" w:hanging="0"/>
              <w:textAlignment w:val="baseline"/>
              <w:rPr/>
            </w:pPr>
            <w:r>
              <w:rPr>
                <w:rFonts w:eastAsia="Times New Roman" w:cs="Arial"/>
                <w:b/>
                <w:bCs/>
                <w:sz w:val="18"/>
                <w:szCs w:val="18"/>
              </w:rPr>
              <w:t xml:space="preserve">          </w:t>
            </w:r>
            <w:r>
              <w:rPr>
                <w:rFonts w:eastAsia="Times New Roman" w:cs="Arial"/>
                <w:b/>
                <w:bCs/>
                <w:sz w:val="18"/>
                <w:szCs w:val="18"/>
              </w:rPr>
              <w:t xml:space="preserve">Email: </w:t>
            </w:r>
            <w:hyperlink r:id="rId4">
              <w:r>
                <w:rPr>
                  <w:rStyle w:val="InternetLink"/>
                  <w:rFonts w:eastAsia="Times New Roman" w:cs="Arial"/>
                  <w:b/>
                  <w:bCs/>
                  <w:sz w:val="18"/>
                  <w:szCs w:val="18"/>
                </w:rPr>
                <w:t>wighillpc@hotmail.co.uk</w:t>
              </w:r>
            </w:hyperlink>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r>
          </w:p>
          <w:p>
            <w:pPr>
              <w:pStyle w:val="Normal"/>
              <w:tabs>
                <w:tab w:val="clear" w:pos="720"/>
                <w:tab w:val="left" w:pos="284" w:leader="none"/>
                <w:tab w:val="left" w:pos="709" w:leader="none"/>
              </w:tabs>
              <w:overflowPunct w:val="true"/>
              <w:spacing w:lineRule="auto" w:line="240" w:before="0" w:after="0"/>
              <w:ind w:left="360" w:hanging="0"/>
              <w:textAlignment w:val="baseline"/>
              <w:rPr/>
            </w:pPr>
            <w:r>
              <w:rPr>
                <w:rFonts w:eastAsia="Times New Roman" w:cs="Arial"/>
                <w:sz w:val="18"/>
                <w:szCs w:val="18"/>
              </w:rPr>
              <w:t>commencing on (c) __</w:t>
            </w:r>
            <w:r>
              <w:rPr>
                <w:rFonts w:eastAsia="Times New Roman" w:cs="Arial"/>
                <w:b/>
                <w:sz w:val="18"/>
                <w:szCs w:val="18"/>
              </w:rPr>
              <w:t>Monday 17 June 2019</w:t>
            </w:r>
          </w:p>
          <w:p>
            <w:pPr>
              <w:pStyle w:val="Normal"/>
              <w:tabs>
                <w:tab w:val="clear" w:pos="720"/>
                <w:tab w:val="left" w:pos="284" w:leader="none"/>
                <w:tab w:val="left" w:pos="709" w:leader="none"/>
              </w:tabs>
              <w:overflowPunct w:val="true"/>
              <w:spacing w:lineRule="auto" w:line="240" w:before="0" w:after="0"/>
              <w:ind w:left="360" w:hanging="0"/>
              <w:textAlignment w:val="baseline"/>
              <w:rPr/>
            </w:pPr>
            <w:r>
              <w:rPr>
                <w:rFonts w:eastAsia="Times New Roman" w:cs="Arial"/>
                <w:sz w:val="18"/>
                <w:szCs w:val="18"/>
              </w:rPr>
              <w:t>and ending on (d) ___</w:t>
            </w:r>
            <w:r>
              <w:rPr>
                <w:rFonts w:eastAsia="Times New Roman" w:cs="Arial"/>
                <w:b/>
                <w:sz w:val="18"/>
                <w:szCs w:val="18"/>
              </w:rPr>
              <w:t>Friday 26 July 2019</w:t>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r>
          </w:p>
          <w:p>
            <w:pPr>
              <w:pStyle w:val="Normal"/>
              <w:overflowPunct w:val="true"/>
              <w:spacing w:lineRule="auto" w:line="240" w:before="0" w:after="0"/>
              <w:contextualSpacing/>
              <w:textAlignment w:val="baseline"/>
              <w:rPr>
                <w:rFonts w:eastAsia="Times New Roman" w:cs="Arial"/>
                <w:b/>
                <w:b/>
                <w:sz w:val="18"/>
                <w:szCs w:val="18"/>
              </w:rPr>
            </w:pPr>
            <w:r>
              <w:rPr>
                <w:rFonts w:eastAsia="Times New Roman" w:cs="Arial"/>
                <w:b/>
                <w:sz w:val="18"/>
                <w:szCs w:val="18"/>
              </w:rPr>
              <w:t>3. Local government electors and their representatives also have:</w:t>
            </w:r>
          </w:p>
          <w:p>
            <w:pPr>
              <w:pStyle w:val="Normal"/>
              <w:overflowPunct w:val="true"/>
              <w:spacing w:lineRule="auto" w:line="240" w:before="0" w:after="0"/>
              <w:textAlignment w:val="baseline"/>
              <w:rPr>
                <w:rFonts w:eastAsia="Times New Roman" w:cs="Arial"/>
                <w:b/>
                <w:b/>
                <w:sz w:val="18"/>
                <w:szCs w:val="18"/>
              </w:rPr>
            </w:pPr>
            <w:r>
              <w:rPr>
                <w:rFonts w:eastAsia="Times New Roman" w:cs="Arial"/>
                <w:b/>
                <w:sz w:val="18"/>
                <w:szCs w:val="18"/>
              </w:rPr>
            </w:r>
          </w:p>
          <w:p>
            <w:pPr>
              <w:pStyle w:val="Normal"/>
              <w:numPr>
                <w:ilvl w:val="0"/>
                <w:numId w:val="1"/>
              </w:numPr>
              <w:overflowPunct w:val="true"/>
              <w:spacing w:lineRule="auto" w:line="240" w:before="0" w:after="240"/>
              <w:ind w:left="714" w:hanging="357"/>
              <w:textAlignment w:val="baseline"/>
              <w:rPr>
                <w:rFonts w:eastAsia="Times New Roman" w:cs="Arial"/>
                <w:sz w:val="18"/>
                <w:szCs w:val="18"/>
              </w:rPr>
            </w:pPr>
            <w:r>
              <w:rPr>
                <w:rFonts w:eastAsia="Times New Roman" w:cs="Arial"/>
                <w:sz w:val="18"/>
                <w:szCs w:val="18"/>
              </w:rPr>
              <w:t>The opportunity to question the appointed auditor about the accounting records; and</w:t>
            </w:r>
          </w:p>
          <w:p>
            <w:pPr>
              <w:pStyle w:val="Normal"/>
              <w:numPr>
                <w:ilvl w:val="0"/>
                <w:numId w:val="1"/>
              </w:numPr>
              <w:overflowPunct w:val="true"/>
              <w:spacing w:lineRule="auto" w:line="240" w:before="0" w:after="0"/>
              <w:contextualSpacing/>
              <w:textAlignment w:val="baseline"/>
              <w:rPr>
                <w:rFonts w:eastAsia="Times New Roman" w:cs="Arial"/>
                <w:sz w:val="18"/>
                <w:szCs w:val="18"/>
              </w:rPr>
            </w:pPr>
            <w:r>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pPr>
              <w:pStyle w:val="Normal"/>
              <w:overflowPunct w:val="true"/>
              <w:spacing w:lineRule="auto" w:line="240" w:before="0" w:after="0"/>
              <w:ind w:left="720" w:hanging="0"/>
              <w:contextualSpacing/>
              <w:textAlignment w:val="baseline"/>
              <w:rPr>
                <w:rFonts w:eastAsia="Times New Roman" w:cs="Arial"/>
                <w:sz w:val="18"/>
                <w:szCs w:val="18"/>
              </w:rPr>
            </w:pPr>
            <w:r>
              <w:rPr>
                <w:rFonts w:eastAsia="Times New Roman" w:cs="Arial"/>
                <w:sz w:val="18"/>
                <w:szCs w:val="18"/>
              </w:rPr>
            </w:r>
          </w:p>
          <w:p>
            <w:pPr>
              <w:pStyle w:val="Normal"/>
              <w:overflowPunct w:val="true"/>
              <w:spacing w:lineRule="auto" w:line="240" w:before="0" w:after="0"/>
              <w:ind w:left="360" w:hanging="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pPr>
              <w:pStyle w:val="Normal"/>
              <w:overflowPunct w:val="true"/>
              <w:spacing w:lineRule="auto" w:line="240" w:before="0" w:after="0"/>
              <w:ind w:left="360" w:hanging="0"/>
              <w:contextualSpacing/>
              <w:textAlignment w:val="baseline"/>
              <w:rPr>
                <w:rFonts w:eastAsia="Times New Roman" w:cs="Arial"/>
                <w:sz w:val="18"/>
                <w:szCs w:val="18"/>
              </w:rPr>
            </w:pPr>
            <w:r>
              <w:rPr>
                <w:rFonts w:eastAsia="Times New Roman" w:cs="Arial"/>
                <w:sz w:val="18"/>
                <w:szCs w:val="18"/>
              </w:rPr>
            </w:r>
          </w:p>
          <w:p>
            <w:pPr>
              <w:pStyle w:val="Normal"/>
              <w:overflowPunct w:val="true"/>
              <w:spacing w:lineRule="auto" w:line="240" w:before="0" w:after="0"/>
              <w:contextualSpacing/>
              <w:textAlignment w:val="baseline"/>
              <w:rPr>
                <w:rFonts w:eastAsia="Times New Roman" w:cs="Arial"/>
                <w:sz w:val="18"/>
                <w:szCs w:val="18"/>
              </w:rPr>
            </w:pPr>
            <w:r>
              <w:rPr>
                <w:rFonts w:eastAsia="Times New Roman" w:cs="Arial"/>
                <w:b/>
                <w:sz w:val="18"/>
                <w:szCs w:val="18"/>
              </w:rPr>
              <w:t>4. The smaller authority’s AGAR is subject to review by the appointed auditor under the provisions of the Local Audit and Accountability Act 2014, the Accounts and Audit Regulations 2015 and the NAO’s Code of Audit Practice 2015.  The appointed auditor is:</w:t>
            </w:r>
          </w:p>
          <w:p>
            <w:pPr>
              <w:pStyle w:val="Normal"/>
              <w:overflowPunct w:val="true"/>
              <w:spacing w:lineRule="auto" w:line="240" w:before="0" w:after="0"/>
              <w:ind w:left="360" w:hanging="0"/>
              <w:contextualSpacing/>
              <w:textAlignment w:val="baseline"/>
              <w:rPr>
                <w:rFonts w:eastAsia="Times New Roman" w:cs="Arial"/>
                <w:sz w:val="18"/>
                <w:szCs w:val="18"/>
              </w:rPr>
            </w:pPr>
            <w:r>
              <w:rPr>
                <w:rFonts w:eastAsia="Times New Roman" w:cs="Arial"/>
                <w:sz w:val="18"/>
                <w:szCs w:val="18"/>
              </w:rPr>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sz w:val="18"/>
                <w:szCs w:val="18"/>
              </w:rPr>
            </w:pPr>
            <w:r>
              <w:rPr>
                <w:rFonts w:eastAsia="Times New Roman" w:cs="Arial"/>
                <w:b/>
                <w:sz w:val="18"/>
                <w:szCs w:val="18"/>
              </w:rPr>
              <w:t>PKF Littlejohn LLP (Ref: SBA Team)</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sz w:val="18"/>
                <w:szCs w:val="18"/>
              </w:rPr>
            </w:pPr>
            <w:r>
              <w:rPr>
                <w:rFonts w:eastAsia="Times New Roman" w:cs="Arial"/>
                <w:b/>
                <w:sz w:val="18"/>
                <w:szCs w:val="18"/>
              </w:rPr>
              <w:t>1 Westferry Circus</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sz w:val="18"/>
                <w:szCs w:val="18"/>
              </w:rPr>
            </w:pPr>
            <w:r>
              <w:rPr>
                <w:rFonts w:eastAsia="Times New Roman" w:cs="Arial"/>
                <w:b/>
                <w:sz w:val="18"/>
                <w:szCs w:val="18"/>
              </w:rPr>
              <w:t>Canary Wharf</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color w:val="000000" w:themeColor="text1"/>
                <w:sz w:val="18"/>
                <w:szCs w:val="18"/>
              </w:rPr>
            </w:pPr>
            <w:r>
              <w:rPr>
                <w:rFonts w:eastAsia="Times New Roman" w:cs="Arial"/>
                <w:b/>
                <w:color w:val="000000" w:themeColor="text1"/>
                <w:sz w:val="18"/>
                <w:szCs w:val="18"/>
              </w:rPr>
              <w:t>London E14 4HD</w:t>
            </w:r>
          </w:p>
          <w:p>
            <w:pPr>
              <w:pStyle w:val="Normal"/>
              <w:tabs>
                <w:tab w:val="clear" w:pos="720"/>
                <w:tab w:val="left" w:pos="1393" w:leader="none"/>
              </w:tabs>
              <w:overflowPunct w:val="true"/>
              <w:spacing w:lineRule="auto" w:line="240" w:before="0" w:after="0"/>
              <w:ind w:left="360" w:hanging="0"/>
              <w:contextualSpacing/>
              <w:textAlignment w:val="baseline"/>
              <w:rPr/>
            </w:pPr>
            <w:r>
              <w:rPr>
                <w:rFonts w:eastAsia="Times New Roman" w:cs="Arial"/>
                <w:color w:val="000000" w:themeColor="text1"/>
                <w:sz w:val="18"/>
                <w:szCs w:val="18"/>
              </w:rPr>
              <w:t>(</w:t>
            </w:r>
            <w:hyperlink r:id="rId5">
              <w:r>
                <w:rPr>
                  <w:rStyle w:val="ListLabel5"/>
                  <w:rFonts w:eastAsia="Times New Roman" w:cs="Arial"/>
                  <w:color w:val="000000" w:themeColor="text1"/>
                  <w:sz w:val="18"/>
                  <w:u w:val="single"/>
                </w:rPr>
                <w:t>sba@pkf-littlejohn.com</w:t>
              </w:r>
            </w:hyperlink>
            <w:r>
              <w:rPr>
                <w:rFonts w:eastAsia="Times New Roman" w:cs="Arial"/>
                <w:color w:val="000000" w:themeColor="text1"/>
                <w:sz w:val="18"/>
                <w:szCs w:val="18"/>
              </w:rPr>
              <w:t>)</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r>
          </w:p>
          <w:p>
            <w:pPr>
              <w:pStyle w:val="Normal"/>
              <w:overflowPunct w:val="true"/>
              <w:spacing w:lineRule="auto" w:line="240" w:before="0" w:after="0"/>
              <w:contextualSpacing/>
              <w:jc w:val="left"/>
              <w:textAlignment w:val="baseline"/>
              <w:rPr/>
            </w:pPr>
            <w:r>
              <w:rPr>
                <w:rFonts w:eastAsia="Times New Roman" w:cs="Arial"/>
                <w:b/>
                <w:sz w:val="18"/>
                <w:szCs w:val="18"/>
              </w:rPr>
              <w:t>5. This announcement is made by  Trevor Grant Clerk/RFO</w:t>
            </w:r>
          </w:p>
        </w:tc>
        <w:tc>
          <w:tcPr>
            <w:tcW w:w="311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ind w:left="18" w:hanging="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ind w:left="357" w:hanging="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360" w:hanging="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18" w:hanging="0"/>
              <w:contextualSpacing/>
              <w:textAlignment w:val="baseline"/>
              <w:rPr>
                <w:rFonts w:eastAsia="Times New Roman" w:cs="Arial"/>
                <w:sz w:val="18"/>
                <w:szCs w:val="18"/>
              </w:rPr>
            </w:pPr>
            <w:r>
              <w:rPr>
                <w:rFonts w:eastAsia="Times New Roman" w:cs="Arial"/>
                <w:sz w:val="18"/>
                <w:szCs w:val="18"/>
              </w:rPr>
            </w:r>
          </w:p>
        </w:tc>
      </w:tr>
    </w:tbl>
    <w:p>
      <w:pPr>
        <w:pStyle w:val="Normal"/>
        <w:jc w:val="left"/>
        <w:rPr/>
      </w:pPr>
      <w:r>
        <w:rPr/>
      </w:r>
    </w:p>
    <w:p>
      <w:pPr>
        <w:pStyle w:val="Normal"/>
        <w:overflowPunct w:val="true"/>
        <w:spacing w:lineRule="auto" w:line="240" w:before="0" w:after="0"/>
        <w:jc w:val="center"/>
        <w:textAlignment w:val="baseline"/>
        <w:rPr>
          <w:rFonts w:eastAsia="Times New Roman" w:cs="Arial"/>
          <w:b/>
          <w:b/>
          <w:sz w:val="20"/>
          <w:szCs w:val="20"/>
        </w:rPr>
      </w:pPr>
      <w:r>
        <w:rPr>
          <w:rFonts w:eastAsia="Times New Roman" w:cs="Arial"/>
          <w:b/>
          <w:sz w:val="20"/>
          <w:szCs w:val="20"/>
        </w:rPr>
      </w:r>
    </w:p>
    <w:p>
      <w:pPr>
        <w:pStyle w:val="Normal"/>
        <w:overflowPunct w:val="true"/>
        <w:spacing w:lineRule="auto" w:line="240" w:before="0" w:after="0"/>
        <w:jc w:val="center"/>
        <w:textAlignment w:val="baseline"/>
        <w:rPr>
          <w:rFonts w:eastAsia="Times New Roman" w:cs="Arial"/>
          <w:b/>
          <w:b/>
          <w:sz w:val="20"/>
          <w:szCs w:val="20"/>
        </w:rPr>
      </w:pPr>
      <w:r>
        <w:rPr>
          <w:rFonts w:eastAsia="Times New Roman" w:cs="Arial"/>
          <w:b/>
          <w:sz w:val="20"/>
          <w:szCs w:val="20"/>
        </w:rPr>
        <w:t>LOCAL AUTHORITY ACCOUNTS: A SUMMARY OF YOUR RIGHTS</w:t>
      </w:r>
    </w:p>
    <w:p>
      <w:pPr>
        <w:pStyle w:val="Normal"/>
        <w:overflowPunct w:val="true"/>
        <w:spacing w:lineRule="auto" w:line="240" w:before="0" w:after="0"/>
        <w:jc w:val="center"/>
        <w:textAlignment w:val="baseline"/>
        <w:rPr>
          <w:rFonts w:eastAsia="Times New Roman" w:cs="Arial"/>
          <w:b/>
          <w:b/>
          <w:sz w:val="20"/>
          <w:szCs w:val="20"/>
        </w:rPr>
      </w:pPr>
      <w:r>
        <w:rPr>
          <w:rFonts w:eastAsia="Times New Roman" w:cs="Arial"/>
          <w:b/>
          <w:sz w:val="20"/>
          <w:szCs w:val="20"/>
        </w:rPr>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pPr>
        <w:pStyle w:val="Normal"/>
        <w:overflowPunct w:val="true"/>
        <w:spacing w:lineRule="auto" w:line="240" w:before="0" w:after="0"/>
        <w:jc w:val="left"/>
        <w:textAlignment w:val="baseline"/>
        <w:rPr>
          <w:rFonts w:eastAsia="Times New Roman" w:cs="Arial"/>
          <w:b/>
          <w:b/>
          <w:sz w:val="20"/>
          <w:szCs w:val="20"/>
        </w:rPr>
      </w:pPr>
      <w:r>
        <w:rPr>
          <w:rFonts w:eastAsia="Times New Roman" w:cs="Arial"/>
          <w:b/>
          <w:sz w:val="20"/>
          <w:szCs w:val="20"/>
        </w:rPr>
      </w:r>
    </w:p>
    <w:p>
      <w:pPr>
        <w:pStyle w:val="Normal"/>
        <w:overflowPunct w:val="true"/>
        <w:spacing w:lineRule="auto" w:line="240" w:before="0" w:after="0"/>
        <w:jc w:val="left"/>
        <w:textAlignment w:val="baseline"/>
        <w:rPr>
          <w:rFonts w:eastAsia="Times New Roman" w:cs="Arial"/>
          <w:b/>
          <w:b/>
          <w:sz w:val="20"/>
          <w:szCs w:val="20"/>
        </w:rPr>
      </w:pPr>
      <w:r>
        <w:rPr>
          <w:rFonts w:eastAsia="Times New Roman" w:cs="Arial"/>
          <w:b/>
          <w:sz w:val="20"/>
          <w:szCs w:val="20"/>
        </w:rPr>
        <w:t>The basic position</w:t>
      </w:r>
    </w:p>
    <w:p>
      <w:pPr>
        <w:pStyle w:val="Normal"/>
        <w:overflowPunct w:val="true"/>
        <w:spacing w:lineRule="auto" w:line="240" w:before="0" w:after="0"/>
        <w:jc w:val="left"/>
        <w:textAlignment w:val="baseline"/>
        <w:rPr>
          <w:rFonts w:eastAsia="Times New Roman" w:cs="Arial"/>
          <w:sz w:val="20"/>
          <w:szCs w:val="20"/>
        </w:rPr>
      </w:pPr>
      <w:r>
        <w:rPr>
          <w:rFonts w:eastAsia="Times New Roman" w:cs="Arial"/>
          <w:sz w:val="20"/>
          <w:szCs w:val="20"/>
        </w:rPr>
      </w:r>
    </w:p>
    <w:p>
      <w:pPr>
        <w:pStyle w:val="Normal"/>
        <w:spacing w:lineRule="auto" w:line="240"/>
        <w:rPr/>
      </w:pPr>
      <w:r>
        <w:rPr>
          <w:rFonts w:eastAsia="Times New Roman" w:cs="Arial"/>
          <w:sz w:val="20"/>
          <w:szCs w:val="20"/>
        </w:rPr>
        <w:t xml:space="preserve">The </w:t>
      </w:r>
      <w:hyperlink r:id="rId6">
        <w:r>
          <w:rPr>
            <w:rStyle w:val="Internet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and the </w:t>
      </w:r>
      <w:hyperlink r:id="rId7">
        <w:r>
          <w:rPr>
            <w:rStyle w:val="InternetLink"/>
            <w:rFonts w:eastAsia="Times New Roman" w:cs="Arial"/>
            <w:sz w:val="20"/>
            <w:szCs w:val="20"/>
          </w:rPr>
          <w:t>Accounts and Audit Regulations 2015</w:t>
        </w:r>
      </w:hyperlink>
      <w:r>
        <w:rPr>
          <w:rFonts w:eastAsia="Times New Roman" w:cs="Arial"/>
          <w:sz w:val="20"/>
          <w:szCs w:val="20"/>
        </w:rPr>
        <w:t xml:space="preserve"> also cover the duties, responsibilities and rights of smaller authorities, other organisations and the public concerning the accounts being audited. </w:t>
      </w:r>
    </w:p>
    <w:p>
      <w:pPr>
        <w:pStyle w:val="Normal"/>
        <w:spacing w:lineRule="auto" w:line="240"/>
        <w:rPr>
          <w:rFonts w:eastAsia="Times New Roman" w:cs="Arial"/>
          <w:sz w:val="20"/>
          <w:szCs w:val="20"/>
        </w:rPr>
      </w:pPr>
      <w:r>
        <w:rPr>
          <w:rFonts w:eastAsia="Times New Roman" w:cs="Arial"/>
          <w:sz w:val="20"/>
          <w:szCs w:val="20"/>
        </w:rPr>
        <w:t>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local residents pay for the cost of you exercising your rights through their council tax.</w:t>
      </w:r>
    </w:p>
    <w:p>
      <w:pPr>
        <w:pStyle w:val="Normal"/>
        <w:overflowPunct w:val="true"/>
        <w:spacing w:lineRule="auto" w:line="240" w:before="0" w:after="0"/>
        <w:textAlignment w:val="baseline"/>
        <w:rPr>
          <w:rFonts w:eastAsia="Times New Roman" w:cs="Arial"/>
          <w:sz w:val="20"/>
          <w:szCs w:val="20"/>
        </w:rPr>
      </w:pPr>
      <w:r>
        <w:rPr>
          <w:rFonts w:eastAsia="Times New Roman" w:cs="Arial"/>
          <w:b/>
          <w:sz w:val="20"/>
          <w:szCs w:val="20"/>
        </w:rPr>
        <w:t>The right to inspect the accounting records</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30 working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 working day period must include a common period of inspection during which all smaller authorities’ accounting records are available to inspect. This will be 1-12 July 2019 for 2018/19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t>The right to ask the auditor questions about the accounting records</w:t>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r>
    </w:p>
    <w:p>
      <w:pPr>
        <w:pStyle w:val="Normal"/>
        <w:spacing w:lineRule="auto" w:line="240"/>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pPr>
        <w:pStyle w:val="Normal"/>
        <w:spacing w:lineRule="auto" w:line="240"/>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pPr>
        <w:pStyle w:val="Normal"/>
        <w:spacing w:lineRule="auto" w:line="240"/>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pPr>
        <w:pStyle w:val="Normal"/>
        <w:spacing w:lineRule="auto" w:line="240"/>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pPr>
        <w:pStyle w:val="Normal"/>
        <w:overflowPunct w:val="true"/>
        <w:spacing w:lineRule="auto" w:line="240" w:before="0" w:after="0"/>
        <w:textAlignment w:val="baseline"/>
        <w:rPr>
          <w:rFonts w:eastAsia="Times New Roman" w:cs="Arial"/>
          <w:sz w:val="20"/>
          <w:szCs w:val="20"/>
        </w:rPr>
      </w:pPr>
      <w:r>
        <w:rPr>
          <w:rFonts w:eastAsia="Times New Roman" w:cs="Arial"/>
          <w:b/>
          <w:sz w:val="20"/>
          <w:szCs w:val="20"/>
        </w:rPr>
        <w:t>The right to make objections at audit</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spacing w:lineRule="auto" w:line="240" w:before="0" w:after="0"/>
        <w:rPr>
          <w:rFonts w:eastAsia="Times New Roman" w:cs="Arial"/>
          <w:sz w:val="20"/>
          <w:szCs w:val="20"/>
        </w:rPr>
      </w:pPr>
      <w:r>
        <w:rPr>
          <w:rFonts w:eastAsia="Times New Roman"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pPr>
        <w:pStyle w:val="Normal"/>
        <w:spacing w:lineRule="auto" w:line="240" w:before="0" w:after="0"/>
        <w:rPr>
          <w:rFonts w:eastAsia="Times New Roman" w:cs="Arial"/>
          <w:sz w:val="20"/>
          <w:szCs w:val="20"/>
        </w:rPr>
      </w:pPr>
      <w:r>
        <w:rPr>
          <w:rFonts w:eastAsia="Times New Roman" w:cs="Arial"/>
          <w:sz w:val="20"/>
          <w:szCs w:val="20"/>
        </w:rPr>
      </w:r>
    </w:p>
    <w:p>
      <w:pPr>
        <w:pStyle w:val="ListParagraph"/>
        <w:numPr>
          <w:ilvl w:val="0"/>
          <w:numId w:val="1"/>
        </w:numPr>
        <w:rPr>
          <w:sz w:val="20"/>
        </w:rPr>
      </w:pPr>
      <w:r>
        <w:rPr>
          <w:sz w:val="20"/>
        </w:rPr>
        <w:t>confirmation that you are an elector in the smaller authority’s area;</w:t>
      </w:r>
    </w:p>
    <w:p>
      <w:pPr>
        <w:pStyle w:val="ListParagraph"/>
        <w:numPr>
          <w:ilvl w:val="0"/>
          <w:numId w:val="1"/>
        </w:numPr>
        <w:rPr>
          <w:sz w:val="20"/>
        </w:rPr>
      </w:pPr>
      <w:r>
        <w:rPr>
          <w:sz w:val="20"/>
        </w:rPr>
        <w:t>why you are objecting to the accounts and the facts on which you rely;</w:t>
      </w:r>
    </w:p>
    <w:p>
      <w:pPr>
        <w:pStyle w:val="ListParagraph"/>
        <w:numPr>
          <w:ilvl w:val="0"/>
          <w:numId w:val="1"/>
        </w:numPr>
        <w:rPr>
          <w:sz w:val="20"/>
        </w:rPr>
      </w:pPr>
      <w:r>
        <w:rPr>
          <w:sz w:val="20"/>
        </w:rPr>
        <w:t>details of any item in the accounts that you think is unlawful; and</w:t>
      </w:r>
    </w:p>
    <w:p>
      <w:pPr>
        <w:pStyle w:val="ListParagraph"/>
        <w:numPr>
          <w:ilvl w:val="0"/>
          <w:numId w:val="1"/>
        </w:numPr>
        <w:rPr>
          <w:sz w:val="20"/>
        </w:rPr>
      </w:pPr>
      <w:r>
        <w:rPr>
          <w:sz w:val="20"/>
        </w:rPr>
        <w:t>details of any matter about which you think the external auditor should make a public interest report.</w:t>
      </w:r>
    </w:p>
    <w:p>
      <w:pPr>
        <w:pStyle w:val="Normal"/>
        <w:spacing w:lineRule="auto" w:line="240" w:before="0" w:after="0"/>
        <w:rPr>
          <w:rFonts w:eastAsia="Times New Roman" w:cs="Arial"/>
          <w:sz w:val="20"/>
          <w:szCs w:val="20"/>
        </w:rPr>
      </w:pPr>
      <w:r>
        <w:rPr>
          <w:rFonts w:eastAsia="Times New Roman" w:cs="Arial"/>
          <w:sz w:val="20"/>
          <w:szCs w:val="20"/>
        </w:rPr>
      </w:r>
    </w:p>
    <w:p>
      <w:pPr>
        <w:pStyle w:val="Normal"/>
        <w:spacing w:lineRule="auto" w:line="240" w:before="0" w:after="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8">
        <w:r>
          <w:rPr>
            <w:rStyle w:val="InternetLink"/>
            <w:rFonts w:eastAsia="Times New Roman" w:cs="Arial"/>
            <w:sz w:val="20"/>
            <w:szCs w:val="20"/>
          </w:rPr>
          <w:t>Local Audit and Accountability Act 2014</w:t>
        </w:r>
      </w:hyperlink>
      <w:r>
        <w:rPr>
          <w:rFonts w:eastAsia="Times New Roman" w:cs="Arial"/>
          <w:sz w:val="20"/>
          <w:szCs w:val="20"/>
        </w:rPr>
        <w:t xml:space="preserve">.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b/>
          <w:sz w:val="20"/>
          <w:szCs w:val="20"/>
        </w:rPr>
        <w:t>A final word</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tbl>
      <w:tblPr>
        <w:tblW w:w="9067"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firstRow="1" w:noVBand="1" w:lastRow="0" w:firstColumn="1" w:lastColumn="0" w:noHBand="0" w:val="04a0"/>
      </w:tblPr>
      <w:tblGrid>
        <w:gridCol w:w="4389"/>
        <w:gridCol w:w="4677"/>
      </w:tblGrid>
      <w:tr>
        <w:trPr/>
        <w:tc>
          <w:tcPr>
            <w:tcW w:w="43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overflowPunct w:val="true"/>
              <w:spacing w:lineRule="auto" w:line="240" w:before="0" w:after="0"/>
              <w:textAlignment w:val="baseline"/>
              <w:rPr/>
            </w:pPr>
            <w:r>
              <w:rPr>
                <w:rFonts w:eastAsia="Times New Roman" w:cs="Arial"/>
                <w:sz w:val="20"/>
                <w:szCs w:val="20"/>
              </w:rPr>
              <w:t xml:space="preserve">For more detailed guidance on public rights and the special powers of auditors, copies of the publication </w:t>
            </w:r>
            <w:hyperlink r:id="rId9">
              <w:r>
                <w:rPr>
                  <w:rStyle w:val="Internet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If you wish to contact your authority’s appointed external auditor please write to the address in 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tc>
      </w:tr>
    </w:tbl>
    <w:p>
      <w:pPr>
        <w:pStyle w:val="Normal"/>
        <w:spacing w:lineRule="auto" w:line="240" w:before="0" w:after="200"/>
        <w:jc w:val="left"/>
        <w:rPr/>
      </w:pPr>
      <w:r>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Arial">
    <w:charset w:val="01"/>
    <w:family w:val="swiss"/>
    <w:pitch w:val="default"/>
  </w:font>
  <w:font w:name="Segoe UI">
    <w:charset w:val="01"/>
    <w:family w:val="swiss"/>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0"/>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lowerLetter"/>
      <w:lvlText w:val="%1."/>
      <w:lvlJc w:val="left"/>
      <w:pPr>
        <w:ind w:left="723" w:hanging="360"/>
      </w:pPr>
    </w:lvl>
    <w:lvl w:ilvl="1">
      <w:start w:val="1"/>
      <w:numFmt w:val="lowerLetter"/>
      <w:lvlText w:val="%2."/>
      <w:lvlJc w:val="left"/>
      <w:pPr>
        <w:ind w:left="1443" w:hanging="360"/>
      </w:pPr>
    </w:lvl>
    <w:lvl w:ilvl="2">
      <w:start w:val="1"/>
      <w:numFmt w:val="lowerRoman"/>
      <w:lvlText w:val="%3."/>
      <w:lvlJc w:val="right"/>
      <w:pPr>
        <w:ind w:left="2163" w:hanging="180"/>
      </w:pPr>
    </w:lvl>
    <w:lvl w:ilvl="3">
      <w:start w:val="1"/>
      <w:numFmt w:val="decimal"/>
      <w:lvlText w:val="%4."/>
      <w:lvlJc w:val="left"/>
      <w:pPr>
        <w:ind w:left="2883" w:hanging="360"/>
      </w:pPr>
    </w:lvl>
    <w:lvl w:ilvl="4">
      <w:start w:val="1"/>
      <w:numFmt w:val="lowerLetter"/>
      <w:lvlText w:val="%5."/>
      <w:lvlJc w:val="left"/>
      <w:pPr>
        <w:ind w:left="3603" w:hanging="360"/>
      </w:pPr>
    </w:lvl>
    <w:lvl w:ilvl="5">
      <w:start w:val="1"/>
      <w:numFmt w:val="lowerRoman"/>
      <w:lvlText w:val="%6."/>
      <w:lvlJc w:val="right"/>
      <w:pPr>
        <w:ind w:left="4323" w:hanging="180"/>
      </w:pPr>
    </w:lvl>
    <w:lvl w:ilvl="6">
      <w:start w:val="1"/>
      <w:numFmt w:val="decimal"/>
      <w:lvlText w:val="%7."/>
      <w:lvlJc w:val="left"/>
      <w:pPr>
        <w:ind w:left="5043" w:hanging="360"/>
      </w:pPr>
    </w:lvl>
    <w:lvl w:ilvl="7">
      <w:start w:val="1"/>
      <w:numFmt w:val="lowerLetter"/>
      <w:lvlText w:val="%8."/>
      <w:lvlJc w:val="left"/>
      <w:pPr>
        <w:ind w:left="5763" w:hanging="360"/>
      </w:pPr>
    </w:lvl>
    <w:lvl w:ilvl="8">
      <w:start w:val="1"/>
      <w:numFmt w:val="lowerRoman"/>
      <w:lvlText w:val="%9."/>
      <w:lvlJc w:val="right"/>
      <w:pPr>
        <w:ind w:left="6483"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15fcf"/>
    <w:pPr>
      <w:widowControl/>
      <w:bidi w:val="0"/>
      <w:spacing w:lineRule="auto" w:line="276" w:before="0" w:after="200"/>
      <w:jc w:val="both"/>
    </w:pPr>
    <w:rPr>
      <w:rFonts w:ascii="Arial" w:hAnsi="Arial" w:eastAsia="Calibri" w:cs="" w:cstheme="minorBidi" w:eastAsiaTheme="minorHAnsi"/>
      <w:color w:val="auto"/>
      <w:kern w:val="0"/>
      <w:sz w:val="21"/>
      <w:szCs w:val="22"/>
      <w:lang w:val="en-GB" w:eastAsia="en-US" w:bidi="ar-SA"/>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sid w:val="00b53912"/>
    <w:rPr>
      <w:sz w:val="16"/>
      <w:szCs w:val="16"/>
    </w:rPr>
  </w:style>
  <w:style w:type="character" w:styleId="CommentTextChar" w:customStyle="1">
    <w:name w:val="Comment Text Char"/>
    <w:basedOn w:val="DefaultParagraphFont"/>
    <w:link w:val="CommentText"/>
    <w:uiPriority w:val="99"/>
    <w:semiHidden/>
    <w:qFormat/>
    <w:rsid w:val="00b53912"/>
    <w:rPr>
      <w:rFonts w:ascii="Arial" w:hAnsi="Arial"/>
      <w:sz w:val="20"/>
      <w:szCs w:val="20"/>
    </w:rPr>
  </w:style>
  <w:style w:type="character" w:styleId="CommentSubjectChar" w:customStyle="1">
    <w:name w:val="Comment Subject Char"/>
    <w:basedOn w:val="CommentTextChar"/>
    <w:link w:val="CommentSubject"/>
    <w:uiPriority w:val="99"/>
    <w:semiHidden/>
    <w:qFormat/>
    <w:rsid w:val="00b53912"/>
    <w:rPr>
      <w:rFonts w:ascii="Arial" w:hAnsi="Arial"/>
      <w:b/>
      <w:bCs/>
      <w:sz w:val="20"/>
      <w:szCs w:val="20"/>
    </w:rPr>
  </w:style>
  <w:style w:type="character" w:styleId="BalloonTextChar" w:customStyle="1">
    <w:name w:val="Balloon Text Char"/>
    <w:basedOn w:val="DefaultParagraphFont"/>
    <w:link w:val="BalloonText"/>
    <w:uiPriority w:val="99"/>
    <w:semiHidden/>
    <w:qFormat/>
    <w:rsid w:val="00b53912"/>
    <w:rPr>
      <w:rFonts w:ascii="Segoe UI" w:hAnsi="Segoe UI" w:cs="Segoe UI"/>
      <w:sz w:val="18"/>
      <w:szCs w:val="18"/>
    </w:rPr>
  </w:style>
  <w:style w:type="character" w:styleId="InternetLink">
    <w:name w:val="Internet Link"/>
    <w:basedOn w:val="DefaultParagraphFont"/>
    <w:uiPriority w:val="99"/>
    <w:unhideWhenUsed/>
    <w:rsid w:val="00805a33"/>
    <w:rPr>
      <w:color w:val="0563C1" w:themeColor="hyperlink"/>
      <w:u w:val="single"/>
    </w:rPr>
  </w:style>
  <w:style w:type="character" w:styleId="UnresolvedMention1" w:customStyle="1">
    <w:name w:val="Unresolved Mention1"/>
    <w:basedOn w:val="DefaultParagraphFont"/>
    <w:uiPriority w:val="99"/>
    <w:semiHidden/>
    <w:unhideWhenUsed/>
    <w:qFormat/>
    <w:rsid w:val="00805a33"/>
    <w:rPr>
      <w:color w:val="808080"/>
      <w:shd w:fill="E6E6E6" w:val="clear"/>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eastAsia="Times New Roman" w:cs="Arial"/>
      <w:szCs w:val="21"/>
    </w:rPr>
  </w:style>
  <w:style w:type="character" w:styleId="ListLabel5">
    <w:name w:val="ListLabel 5"/>
    <w:qFormat/>
    <w:rPr>
      <w:rFonts w:eastAsia="Times New Roman" w:cs="Arial"/>
      <w:color w:val="000000" w:themeColor="text1"/>
      <w:sz w:val="18"/>
      <w:u w:val="single"/>
    </w:rPr>
  </w:style>
  <w:style w:type="character" w:styleId="ListLabel6">
    <w:name w:val="ListLabel 6"/>
    <w:qFormat/>
    <w:rPr>
      <w:rFonts w:eastAsia="Times New Roman" w:cs="Arial"/>
      <w:sz w:val="20"/>
      <w:szCs w:val="20"/>
    </w:rPr>
  </w:style>
  <w:style w:type="character" w:styleId="ListLabel7">
    <w:name w:val="ListLabel 7"/>
    <w:qFormat/>
    <w:rPr>
      <w:rFonts w:cs="Symbol"/>
      <w:sz w:val="20"/>
    </w:rPr>
  </w:style>
  <w:style w:type="character" w:styleId="ListLabel8">
    <w:name w:val="ListLabel 8"/>
    <w:qFormat/>
    <w:rPr>
      <w:rFonts w:cs="Courier New"/>
    </w:rPr>
  </w:style>
  <w:style w:type="character" w:styleId="ListLabel9">
    <w:name w:val="ListLabel 9"/>
    <w:qFormat/>
    <w:rPr>
      <w:rFonts w:cs="Wingdings"/>
    </w:rPr>
  </w:style>
  <w:style w:type="character" w:styleId="ListLabel10">
    <w:name w:val="ListLabel 10"/>
    <w:qFormat/>
    <w:rPr>
      <w:rFonts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eastAsia="Times New Roman" w:cs="Arial"/>
      <w:szCs w:val="21"/>
    </w:rPr>
  </w:style>
  <w:style w:type="character" w:styleId="ListLabel17">
    <w:name w:val="ListLabel 17"/>
    <w:qFormat/>
    <w:rPr>
      <w:rFonts w:eastAsia="Times New Roman" w:cs="Arial"/>
      <w:color w:val="000000" w:themeColor="text1"/>
      <w:sz w:val="18"/>
      <w:u w:val="single"/>
    </w:rPr>
  </w:style>
  <w:style w:type="character" w:styleId="ListLabel18">
    <w:name w:val="ListLabel 18"/>
    <w:qFormat/>
    <w:rPr>
      <w:rFonts w:eastAsia="Times New Roman" w:cs="Arial"/>
      <w:sz w:val="20"/>
      <w:szCs w:val="20"/>
    </w:rPr>
  </w:style>
  <w:style w:type="character" w:styleId="ListLabel19">
    <w:name w:val="ListLabel 19"/>
    <w:qFormat/>
    <w:rPr>
      <w:rFonts w:cs="Symbol"/>
      <w:sz w:val="20"/>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cs="Symbol"/>
    </w:rPr>
  </w:style>
  <w:style w:type="character" w:styleId="ListLabel26">
    <w:name w:val="ListLabel 26"/>
    <w:qFormat/>
    <w:rPr>
      <w:rFonts w:cs="Courier New"/>
    </w:rPr>
  </w:style>
  <w:style w:type="character" w:styleId="ListLabel27">
    <w:name w:val="ListLabel 27"/>
    <w:qFormat/>
    <w:rPr>
      <w:rFonts w:cs="Wingdings"/>
    </w:rPr>
  </w:style>
  <w:style w:type="character" w:styleId="ListLabel28">
    <w:name w:val="ListLabel 28"/>
    <w:qFormat/>
    <w:rPr>
      <w:rFonts w:eastAsia="Times New Roman" w:cs="Arial"/>
      <w:szCs w:val="21"/>
    </w:rPr>
  </w:style>
  <w:style w:type="character" w:styleId="ListLabel29">
    <w:name w:val="ListLabel 29"/>
    <w:qFormat/>
    <w:rPr>
      <w:rFonts w:eastAsia="Times New Roman" w:cs="Arial"/>
      <w:b/>
      <w:bCs/>
      <w:sz w:val="18"/>
      <w:szCs w:val="18"/>
    </w:rPr>
  </w:style>
  <w:style w:type="character" w:styleId="ListLabel30">
    <w:name w:val="ListLabel 30"/>
    <w:qFormat/>
    <w:rPr>
      <w:rFonts w:eastAsia="Times New Roman" w:cs="Arial"/>
      <w:color w:val="000000" w:themeColor="text1"/>
      <w:sz w:val="18"/>
      <w:u w:val="single"/>
    </w:rPr>
  </w:style>
  <w:style w:type="character" w:styleId="ListLabel31">
    <w:name w:val="ListLabel 31"/>
    <w:qFormat/>
    <w:rPr>
      <w:rFonts w:eastAsia="Times New Roman" w:cs="Arial"/>
      <w:sz w:val="20"/>
      <w:szCs w:val="20"/>
    </w:rPr>
  </w:style>
  <w:style w:type="paragraph" w:styleId="Heading">
    <w:name w:val="Heading"/>
    <w:basedOn w:val="Normal"/>
    <w:next w:val="TextBody"/>
    <w:qFormat/>
    <w:pPr>
      <w:keepNext w:val="true"/>
      <w:spacing w:before="240" w:after="120"/>
    </w:pPr>
    <w:rPr>
      <w:rFonts w:ascii="Calibri" w:hAnsi="Calibr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Arial"/>
    </w:rPr>
  </w:style>
  <w:style w:type="paragraph" w:styleId="Caption">
    <w:name w:val="Caption"/>
    <w:basedOn w:val="Normal"/>
    <w:qFormat/>
    <w:pPr>
      <w:suppressLineNumbers/>
      <w:spacing w:before="120" w:after="120"/>
    </w:pPr>
    <w:rPr>
      <w:rFonts w:ascii="Calibri" w:hAnsi="Calibri" w:cs="Arial"/>
      <w:i/>
      <w:iCs/>
      <w:sz w:val="24"/>
      <w:szCs w:val="24"/>
    </w:rPr>
  </w:style>
  <w:style w:type="paragraph" w:styleId="Index">
    <w:name w:val="Index"/>
    <w:basedOn w:val="Normal"/>
    <w:qFormat/>
    <w:pPr>
      <w:suppressLineNumbers/>
    </w:pPr>
    <w:rPr>
      <w:rFonts w:ascii="Calibri" w:hAnsi="Calibri" w:cs="Arial"/>
    </w:rPr>
  </w:style>
  <w:style w:type="paragraph" w:styleId="ListParagraph">
    <w:name w:val="List Paragraph"/>
    <w:basedOn w:val="Normal"/>
    <w:uiPriority w:val="34"/>
    <w:qFormat/>
    <w:rsid w:val="00815fcf"/>
    <w:pPr>
      <w:overflowPunct w:val="true"/>
      <w:spacing w:lineRule="auto" w:line="240" w:before="0" w:after="0"/>
      <w:ind w:left="720" w:hanging="0"/>
      <w:contextualSpacing/>
      <w:jc w:val="left"/>
      <w:textAlignment w:val="baseline"/>
    </w:pPr>
    <w:rPr>
      <w:rFonts w:eastAsia="Times New Roman" w:cs="Arial"/>
      <w:szCs w:val="20"/>
    </w:rPr>
  </w:style>
  <w:style w:type="paragraph" w:styleId="Annotationtext">
    <w:name w:val="annotation text"/>
    <w:basedOn w:val="Normal"/>
    <w:link w:val="CommentTextChar"/>
    <w:uiPriority w:val="99"/>
    <w:semiHidden/>
    <w:unhideWhenUsed/>
    <w:qFormat/>
    <w:rsid w:val="00b53912"/>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53912"/>
    <w:pPr/>
    <w:rPr>
      <w:b/>
      <w:bCs/>
    </w:rPr>
  </w:style>
  <w:style w:type="paragraph" w:styleId="BalloonText">
    <w:name w:val="Balloon Text"/>
    <w:basedOn w:val="Normal"/>
    <w:link w:val="BalloonTextChar"/>
    <w:uiPriority w:val="99"/>
    <w:semiHidden/>
    <w:unhideWhenUsed/>
    <w:qFormat/>
    <w:rsid w:val="00b53912"/>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egislation.gov.uk/ukpga/2014/2/contents" TargetMode="External"/><Relationship Id="rId3" Type="http://schemas.openxmlformats.org/officeDocument/2006/relationships/hyperlink" Target="http://www.legislation.gov.uk/uksi/2015/234/contents/made" TargetMode="External"/><Relationship Id="rId4" Type="http://schemas.openxmlformats.org/officeDocument/2006/relationships/hyperlink" Target="mailto:wighillpc@hotmail.co.uk" TargetMode="External"/><Relationship Id="rId5" Type="http://schemas.openxmlformats.org/officeDocument/2006/relationships/hyperlink" Target="mailto:sba@pkf-littlejohn.com" TargetMode="External"/><Relationship Id="rId6" Type="http://schemas.openxmlformats.org/officeDocument/2006/relationships/hyperlink" Target="http://www.legislation.gov.uk/ukpga/2014/2/contents" TargetMode="External"/><Relationship Id="rId7" Type="http://schemas.openxmlformats.org/officeDocument/2006/relationships/hyperlink" Target="http://www.legislation.gov.uk/uksi/2015/234/contents/made" TargetMode="External"/><Relationship Id="rId8" Type="http://schemas.openxmlformats.org/officeDocument/2006/relationships/hyperlink" Target="http://www.legislation.gov.uk/ukpga/2014/2/contents" TargetMode="External"/><Relationship Id="rId9" Type="http://schemas.openxmlformats.org/officeDocument/2006/relationships/hyperlink" Target="https://www.pkf-littlejohn.com/sites/default/files/media/documents/local-authority-accounts-a-guide-to-your-rights_0.pdf" TargetMode="Externa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LibreOffice/6.1.5.2$Windows_X86_64 LibreOffice_project/90f8dcf33c87b3705e78202e3df5142b201bd805</Application>
  <Pages>4</Pages>
  <Words>2286</Words>
  <Characters>11604</Characters>
  <CharactersWithSpaces>13873</CharactersWithSpaces>
  <Paragraphs>71</Paragraphs>
  <Company>PKF Littlejohn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2019-03-22T13:39:00Z</dcterms:created>
  <dc:creator>Rebecca Plane</dc:creator>
  <dc:description/>
  <dc:language>en-GB</dc:language>
  <cp:lastModifiedBy/>
  <cp:lastPrinted>2019-05-15T17:49:19Z</cp:lastPrinted>
  <dcterms:modified xsi:type="dcterms:W3CDTF">2019-05-15T17:50:12Z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PKF Littlejohn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