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8" w:rsidRDefault="00F502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MEETING OF WIGHILL PARISH COUNCIL HELD IN </w:t>
      </w:r>
    </w:p>
    <w:p w:rsidR="00300ED8" w:rsidRDefault="00F5028E">
      <w:pPr>
        <w:spacing w:after="0"/>
        <w:jc w:val="center"/>
      </w:pPr>
      <w:r>
        <w:rPr>
          <w:b/>
          <w:sz w:val="32"/>
          <w:szCs w:val="32"/>
        </w:rPr>
        <w:t>THE WHITE SWAN WIGHILL ON WEDNESDAY 27 APRIL 2016</w:t>
      </w:r>
    </w:p>
    <w:p w:rsidR="00300ED8" w:rsidRDefault="00F5028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Present:</w:t>
      </w:r>
    </w:p>
    <w:p w:rsidR="00300ED8" w:rsidRDefault="00F5028E">
      <w:pPr>
        <w:spacing w:after="0"/>
        <w:jc w:val="both"/>
      </w:pPr>
      <w:r>
        <w:rPr>
          <w:b/>
          <w:sz w:val="24"/>
          <w:szCs w:val="24"/>
        </w:rPr>
        <w:t>Councillors:</w:t>
      </w:r>
      <w:r>
        <w:rPr>
          <w:sz w:val="24"/>
          <w:szCs w:val="24"/>
        </w:rPr>
        <w:t xml:space="preserve"> Mr R Parkin (Chairman), Mr S Oates, Mr A Roberts, Mrs M Redfearn, </w:t>
      </w:r>
    </w:p>
    <w:p w:rsidR="00300ED8" w:rsidRDefault="00F5028E">
      <w:pPr>
        <w:spacing w:after="0"/>
        <w:jc w:val="both"/>
      </w:pPr>
      <w:r>
        <w:rPr>
          <w:sz w:val="24"/>
          <w:szCs w:val="24"/>
        </w:rPr>
        <w:t>Mr N Walne</w:t>
      </w:r>
    </w:p>
    <w:p w:rsidR="00300ED8" w:rsidRDefault="00F502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L T I Grant (Clerk/RFO)  </w:t>
      </w:r>
    </w:p>
    <w:p w:rsidR="00300ED8" w:rsidRDefault="00F5028E">
      <w:pPr>
        <w:spacing w:after="0"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00ED8" w:rsidRDefault="00F502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Action</w:t>
      </w:r>
    </w:p>
    <w:tbl>
      <w:tblPr>
        <w:tblStyle w:val="TableGrid"/>
        <w:tblW w:w="9322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916"/>
        <w:gridCol w:w="7581"/>
        <w:gridCol w:w="825"/>
      </w:tblGrid>
      <w:tr w:rsidR="00300ED8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Apologies for Absence</w:t>
            </w:r>
          </w:p>
          <w:p w:rsidR="00300ED8" w:rsidRDefault="00F5028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None</w:t>
            </w:r>
          </w:p>
          <w:p w:rsidR="00300ED8" w:rsidRDefault="00300E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92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  <w:u w:val="single"/>
              </w:rPr>
              <w:t>Minutes of the Meeting Held on 23.03.16</w:t>
            </w:r>
          </w:p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The minutes of the meeting held </w:t>
            </w:r>
            <w:r>
              <w:rPr>
                <w:sz w:val="24"/>
                <w:szCs w:val="24"/>
              </w:rPr>
              <w:t>on 23.03.16 were approved as a true record by all Councillors present without abstention.</w:t>
            </w:r>
          </w:p>
          <w:p w:rsidR="00300ED8" w:rsidRDefault="00300E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Public Questions and Statements</w:t>
            </w:r>
          </w:p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There was no member of the public present at the meeting and no questions or statements have been received.</w:t>
            </w:r>
          </w:p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The Chairman took th</w:t>
            </w:r>
            <w:r>
              <w:rPr>
                <w:sz w:val="24"/>
                <w:szCs w:val="24"/>
              </w:rPr>
              <w:t>e opportunity to comment on the forthcoming election which would n</w:t>
            </w:r>
            <w:r w:rsidR="0069003B">
              <w:rPr>
                <w:sz w:val="24"/>
                <w:szCs w:val="24"/>
              </w:rPr>
              <w:t>ot now be held. Cllr Mrs M Redf</w:t>
            </w:r>
            <w:r>
              <w:rPr>
                <w:sz w:val="24"/>
                <w:szCs w:val="24"/>
              </w:rPr>
              <w:t>ea</w:t>
            </w:r>
            <w:r w:rsidR="0069003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 had not initially intended standing for re-election, but had decided to do so in order to ensure a quorum of Cllrs. She had discovered on the last day for</w:t>
            </w:r>
            <w:r>
              <w:rPr>
                <w:sz w:val="24"/>
                <w:szCs w:val="24"/>
              </w:rPr>
              <w:t xml:space="preserve"> submission of applications, that another member of the local community was interested in standing for election as a Councillor and had therefore withdrawn her own application. As the number of applicants equalled the number of Cllr places available, no el</w:t>
            </w:r>
            <w:r>
              <w:rPr>
                <w:sz w:val="24"/>
                <w:szCs w:val="24"/>
              </w:rPr>
              <w:t>ection would now take place and all applicants would automatically be elected. The Chairman thanked Cllr Mrs M Redfearn for her commitment to the Parish Council over many years and her contributions to the work undertake.</w:t>
            </w:r>
          </w:p>
          <w:p w:rsidR="00300ED8" w:rsidRDefault="00300E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  <w:u w:val="single"/>
              </w:rPr>
              <w:t xml:space="preserve">Matters Arising from the </w:t>
            </w:r>
            <w:r>
              <w:rPr>
                <w:b/>
                <w:sz w:val="24"/>
                <w:szCs w:val="24"/>
                <w:u w:val="single"/>
              </w:rPr>
              <w:t>minutes of the Meeting Held on 23.03.16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Highway Matters</w:t>
            </w:r>
          </w:p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Nothing to report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Police Matters</w:t>
            </w:r>
          </w:p>
          <w:p w:rsidR="00300ED8" w:rsidRDefault="00F5028E">
            <w:pPr>
              <w:tabs>
                <w:tab w:val="left" w:pos="654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The Community Police Beat Manager was unavailable this evening. </w:t>
            </w:r>
          </w:p>
          <w:p w:rsidR="00300ED8" w:rsidRDefault="00F5028E">
            <w:pPr>
              <w:tabs>
                <w:tab w:val="left" w:pos="654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Crime statistics have previously been circulated, which show that the Parish is still rel</w:t>
            </w:r>
            <w:r>
              <w:rPr>
                <w:sz w:val="24"/>
                <w:szCs w:val="24"/>
              </w:rPr>
              <w:t>atively crime free.</w:t>
            </w:r>
          </w:p>
          <w:p w:rsidR="00300ED8" w:rsidRDefault="00F5028E">
            <w:pPr>
              <w:tabs>
                <w:tab w:val="left" w:pos="65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426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Financial Matters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426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The Bank Balances at 31.03.16 were:</w:t>
            </w:r>
          </w:p>
          <w:p w:rsidR="00300ED8" w:rsidRDefault="00F502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Business Money Management £1334.29</w:t>
            </w:r>
          </w:p>
          <w:p w:rsidR="00300ED8" w:rsidRDefault="00F502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Community Account £0.00</w:t>
            </w:r>
          </w:p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There were no comments or queries from Councillors about the PC’s bank accounts or financial statements circulated. </w:t>
            </w:r>
          </w:p>
          <w:p w:rsidR="00300ED8" w:rsidRDefault="00300E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0ED8" w:rsidRDefault="00300E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0ED8" w:rsidRDefault="00300E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Planning and Related Matters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59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None received.</w:t>
            </w:r>
          </w:p>
          <w:p w:rsidR="00300ED8" w:rsidRDefault="00300ED8">
            <w:pPr>
              <w:pStyle w:val="ListParagraph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70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Planning decision notifications received</w:t>
            </w:r>
          </w:p>
          <w:p w:rsidR="00300ED8" w:rsidRDefault="00F5028E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>None received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413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PC </w:t>
            </w:r>
            <w:r>
              <w:rPr>
                <w:b/>
                <w:sz w:val="24"/>
                <w:szCs w:val="24"/>
                <w:u w:val="single"/>
              </w:rPr>
              <w:t>Administration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413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  <w:u w:val="single"/>
              </w:rPr>
              <w:t>Adoption of Annual Accounts</w:t>
            </w:r>
          </w:p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annual accounts have been circulated and no queries received. All Cllrs present without abstention approved the adoption of the annual accounts.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413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  <w:u w:val="single"/>
              </w:rPr>
              <w:t>Adoption of Annual Governance Statement</w:t>
            </w:r>
          </w:p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The Clerk/RFO read out to Cllrs present the Governance statements included in the Audit Document. All Cllrs present without abstention, confirmed their agreement to the Chairman and Clerk/RFO signing the Audit document on behalf of all Cllrs.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803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  <w:u w:val="single"/>
              </w:rPr>
              <w:t>Adoptio</w:t>
            </w:r>
            <w:r>
              <w:rPr>
                <w:sz w:val="24"/>
                <w:szCs w:val="24"/>
                <w:u w:val="single"/>
              </w:rPr>
              <w:t>n of Updated Financial Risk Assessment</w:t>
            </w:r>
          </w:p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The updated Financial Risk Assessment had been circulated and no queries received. All Cllrs present without abstention approved the adoption of the Updated Financial Risk Assessment.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803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t>8.4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Adoption of Updated  Asset </w:t>
            </w:r>
            <w:r>
              <w:rPr>
                <w:u w:val="single"/>
              </w:rPr>
              <w:t>Risk Assessment</w:t>
            </w:r>
          </w:p>
          <w:p w:rsidR="00300ED8" w:rsidRDefault="00F5028E">
            <w:pPr>
              <w:spacing w:after="0" w:line="240" w:lineRule="auto"/>
              <w:jc w:val="both"/>
            </w:pPr>
            <w:r>
              <w:t>The Updated Asset Risk Assessment had been circulated and no queries received. All Cllrs present without abstention approved the adoption of the Updated Asset Risk Assessments.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803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t>8.5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Adoption of Updated Asset Register</w:t>
            </w:r>
          </w:p>
          <w:p w:rsidR="00300ED8" w:rsidRDefault="00F5028E">
            <w:pPr>
              <w:spacing w:after="0" w:line="240" w:lineRule="auto"/>
              <w:jc w:val="both"/>
              <w:rPr>
                <w:u w:val="single"/>
              </w:rPr>
            </w:pPr>
            <w:r>
              <w:t>The Updated Asset Regi</w:t>
            </w:r>
            <w:r>
              <w:t>ster had been circulated and no queries received. All Cllrs present without abstention approved the adoption of the Updated Asset Register.</w:t>
            </w:r>
          </w:p>
          <w:p w:rsidR="00300ED8" w:rsidRDefault="00F5028E">
            <w:pPr>
              <w:spacing w:after="0" w:line="240" w:lineRule="auto"/>
              <w:jc w:val="both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59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  <w:u w:val="single"/>
              </w:rPr>
              <w:t>Councillors’ Business Items for the next meeting</w:t>
            </w:r>
          </w:p>
          <w:p w:rsidR="00300ED8" w:rsidRDefault="00300ED8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rPr>
          <w:trHeight w:val="38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F5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Date for Next Meetings</w:t>
            </w:r>
          </w:p>
          <w:p w:rsidR="00300ED8" w:rsidRDefault="00F5028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17 May</w:t>
            </w:r>
            <w:r w:rsidR="0069003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2016 at 8.00 pm in The </w:t>
            </w:r>
            <w:r>
              <w:rPr>
                <w:sz w:val="24"/>
                <w:szCs w:val="24"/>
              </w:rPr>
              <w:t>White Swan Wighill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0ED8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ED8" w:rsidRDefault="00300E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0ED8" w:rsidRDefault="00300ED8">
      <w:pPr>
        <w:jc w:val="both"/>
        <w:rPr>
          <w:sz w:val="24"/>
          <w:szCs w:val="24"/>
        </w:rPr>
      </w:pPr>
    </w:p>
    <w:p w:rsidR="00300ED8" w:rsidRDefault="00F5028E">
      <w:pPr>
        <w:spacing w:after="0"/>
        <w:jc w:val="both"/>
      </w:pPr>
      <w:r>
        <w:rPr>
          <w:sz w:val="24"/>
          <w:szCs w:val="24"/>
        </w:rPr>
        <w:t xml:space="preserve">Clerk to the Parish Council: Trevor Grant, Tel: 01423 359961 Email:  </w:t>
      </w:r>
      <w:hyperlink r:id="rId9">
        <w:r>
          <w:rPr>
            <w:rStyle w:val="InternetLink"/>
            <w:sz w:val="24"/>
            <w:szCs w:val="24"/>
          </w:rPr>
          <w:t>wighillpc@hotmail.co.uk</w:t>
        </w:r>
      </w:hyperlink>
      <w:r>
        <w:rPr>
          <w:sz w:val="24"/>
          <w:szCs w:val="24"/>
        </w:rPr>
        <w:t xml:space="preserve"> </w:t>
      </w:r>
    </w:p>
    <w:p w:rsidR="00300ED8" w:rsidRDefault="00F5028E">
      <w:pPr>
        <w:jc w:val="both"/>
      </w:pPr>
      <w:r>
        <w:rPr>
          <w:sz w:val="24"/>
          <w:szCs w:val="24"/>
        </w:rPr>
        <w:t xml:space="preserve">Chairman: Richard Parkin, Tel: 01937 833249 Email: </w:t>
      </w:r>
      <w:hyperlink r:id="rId10">
        <w:r>
          <w:rPr>
            <w:rStyle w:val="InternetLink"/>
            <w:sz w:val="24"/>
            <w:szCs w:val="24"/>
          </w:rPr>
          <w:t>richardparkin2@hotmail.co.uk</w:t>
        </w:r>
      </w:hyperlink>
      <w:r>
        <w:rPr>
          <w:sz w:val="24"/>
          <w:szCs w:val="24"/>
        </w:rPr>
        <w:t xml:space="preserve"> </w:t>
      </w:r>
    </w:p>
    <w:p w:rsidR="00300ED8" w:rsidRDefault="00F5028E">
      <w:pPr>
        <w:jc w:val="both"/>
      </w:pPr>
      <w:r>
        <w:rPr>
          <w:b/>
          <w:sz w:val="28"/>
          <w:szCs w:val="28"/>
        </w:rPr>
        <w:t xml:space="preserve">Parish Website: </w:t>
      </w:r>
      <w:hyperlink r:id="rId11">
        <w:r>
          <w:rPr>
            <w:rStyle w:val="InternetLink"/>
            <w:b/>
            <w:sz w:val="28"/>
            <w:szCs w:val="28"/>
          </w:rPr>
          <w:t>www.wighill-pc.org.uk</w:t>
        </w:r>
      </w:hyperlink>
      <w:r>
        <w:rPr>
          <w:b/>
          <w:sz w:val="28"/>
          <w:szCs w:val="28"/>
        </w:rPr>
        <w:t xml:space="preserve"> </w:t>
      </w:r>
    </w:p>
    <w:sectPr w:rsidR="00300E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8E" w:rsidRDefault="00F5028E">
      <w:pPr>
        <w:spacing w:after="0" w:line="240" w:lineRule="auto"/>
      </w:pPr>
      <w:r>
        <w:separator/>
      </w:r>
    </w:p>
  </w:endnote>
  <w:endnote w:type="continuationSeparator" w:id="0">
    <w:p w:rsidR="00F5028E" w:rsidRDefault="00F5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81" w:rsidRDefault="00365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8" w:rsidRDefault="00F5028E">
    <w:pPr>
      <w:pStyle w:val="Footer"/>
    </w:pPr>
    <w:r>
      <w:t xml:space="preserve">Clerk to the Parish Council (Mr) L T I Grant Tel: 01423 359961 Email: </w:t>
    </w:r>
    <w:hyperlink r:id="rId1">
      <w:r>
        <w:rPr>
          <w:rStyle w:val="InternetLink"/>
        </w:rPr>
        <w:t>wighillpc@hotmail.co.uk</w:t>
      </w:r>
    </w:hyperlink>
    <w:r>
      <w:t xml:space="preserve"> </w:t>
    </w:r>
  </w:p>
  <w:p w:rsidR="00300ED8" w:rsidRDefault="00F5028E">
    <w:pPr>
      <w:pStyle w:val="Footer"/>
    </w:pPr>
    <w:r>
      <w:t xml:space="preserve">Chairman: (Mr) R Parkin (01937 833249 Email: </w:t>
    </w:r>
    <w:hyperlink r:id="rId2">
      <w:r>
        <w:rPr>
          <w:rStyle w:val="InternetLink"/>
        </w:rPr>
        <w:t>richardpark</w:t>
      </w:r>
      <w:r>
        <w:rPr>
          <w:rStyle w:val="InternetLink"/>
        </w:rPr>
        <w:t>in2@hotmail.co.uk</w:t>
      </w:r>
    </w:hyperlink>
    <w: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81" w:rsidRDefault="00365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8E" w:rsidRDefault="00F5028E">
      <w:pPr>
        <w:spacing w:after="0" w:line="240" w:lineRule="auto"/>
      </w:pPr>
      <w:r>
        <w:separator/>
      </w:r>
    </w:p>
  </w:footnote>
  <w:footnote w:type="continuationSeparator" w:id="0">
    <w:p w:rsidR="00F5028E" w:rsidRDefault="00F5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81" w:rsidRDefault="00365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4973"/>
      <w:docPartObj>
        <w:docPartGallery w:val="Watermarks"/>
        <w:docPartUnique/>
      </w:docPartObj>
    </w:sdtPr>
    <w:sdtContent>
      <w:p w:rsidR="00365881" w:rsidRDefault="0036588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81" w:rsidRDefault="00365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23C"/>
    <w:multiLevelType w:val="multilevel"/>
    <w:tmpl w:val="C714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0FC4223"/>
    <w:multiLevelType w:val="multilevel"/>
    <w:tmpl w:val="0DEC8C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E13BE0"/>
    <w:multiLevelType w:val="multilevel"/>
    <w:tmpl w:val="9F1EB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8"/>
    <w:rsid w:val="00300ED8"/>
    <w:rsid w:val="00365881"/>
    <w:rsid w:val="0069003B"/>
    <w:rsid w:val="00F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545F0"/>
  </w:style>
  <w:style w:type="character" w:customStyle="1" w:styleId="FooterChar">
    <w:name w:val="Footer Char"/>
    <w:basedOn w:val="DefaultParagraphFont"/>
    <w:link w:val="Footer"/>
    <w:uiPriority w:val="99"/>
    <w:qFormat/>
    <w:rsid w:val="00F545F0"/>
  </w:style>
  <w:style w:type="character" w:customStyle="1" w:styleId="InternetLink">
    <w:name w:val="Internet Link"/>
    <w:basedOn w:val="DefaultParagraphFont"/>
    <w:uiPriority w:val="99"/>
    <w:unhideWhenUsed/>
    <w:rsid w:val="00F545F0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CC368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368D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9F11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545F0"/>
  </w:style>
  <w:style w:type="character" w:customStyle="1" w:styleId="FooterChar">
    <w:name w:val="Footer Char"/>
    <w:basedOn w:val="DefaultParagraphFont"/>
    <w:link w:val="Footer"/>
    <w:uiPriority w:val="99"/>
    <w:qFormat/>
    <w:rsid w:val="00F545F0"/>
  </w:style>
  <w:style w:type="character" w:customStyle="1" w:styleId="InternetLink">
    <w:name w:val="Internet Link"/>
    <w:basedOn w:val="DefaultParagraphFont"/>
    <w:uiPriority w:val="99"/>
    <w:unhideWhenUsed/>
    <w:rsid w:val="00F545F0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CC368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368D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9F11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ghill-pc.org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ichardparkin2@hotmail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ighillpc@hotmail.co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chardparkin2@hotmail.co.uk" TargetMode="External"/><Relationship Id="rId1" Type="http://schemas.openxmlformats.org/officeDocument/2006/relationships/hyperlink" Target="mailto:wighill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E341-62B7-47E0-A6C2-7522CEED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dc:description/>
  <cp:lastModifiedBy>Leonard</cp:lastModifiedBy>
  <cp:revision>24</cp:revision>
  <cp:lastPrinted>2016-01-22T11:06:00Z</cp:lastPrinted>
  <dcterms:created xsi:type="dcterms:W3CDTF">2016-01-22T09:36:00Z</dcterms:created>
  <dcterms:modified xsi:type="dcterms:W3CDTF">2016-05-05T18:13:00Z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