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eastAsia="Times New Roman" w:cs="Arial"/>
          <w:sz w:val="2"/>
          <w:szCs w:val="2"/>
        </w:rPr>
      </w:pPr>
      <w:r>
        <w:rPr>
          <w:rFonts w:eastAsia="Times New Roman" w:cs="Arial" w:ascii="Arial" w:hAnsi="Arial"/>
          <w:sz w:val="2"/>
          <w:szCs w:val="2"/>
        </w:rPr>
        <mc:AlternateContent>
          <mc:Choice Requires="wps">
            <w:drawing>
              <wp:anchor behindDoc="0" distT="0" distB="3175" distL="0" distR="3175" simplePos="0" locked="0" layoutInCell="1" allowOverlap="1" relativeHeight="2">
                <wp:simplePos x="0" y="0"/>
                <wp:positionH relativeFrom="column">
                  <wp:posOffset>0</wp:posOffset>
                </wp:positionH>
                <wp:positionV relativeFrom="paragraph">
                  <wp:posOffset>635</wp:posOffset>
                </wp:positionV>
                <wp:extent cx="635635" cy="635635"/>
                <wp:effectExtent l="0" t="0" r="0" b="0"/>
                <wp:wrapNone/>
                <wp:docPr id="1" name="AutoShape 19"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
        <w:rPr>
          <w:rFonts w:ascii="Arial" w:hAnsi="Arial" w:eastAsia="Times New Roman" w:cs="Arial"/>
          <w:sz w:val="2"/>
          <w:szCs w:val="2"/>
        </w:rPr>
      </w:pPr>
      <w:r>
        <w:rPr>
          <w:rFonts w:eastAsia="Times New Roman" w:cs="Arial" w:ascii="Arial" w:hAnsi="Arial"/>
          <w:sz w:val="2"/>
          <w:szCs w:val="2"/>
        </w:rPr>
      </w:r>
    </w:p>
    <w:p>
      <w:pPr>
        <w:pStyle w:val="Normal"/>
        <w:jc w:val="center"/>
        <w:rPr>
          <w:rFonts w:ascii="Arial" w:hAnsi="Arial" w:eastAsia="Times New Roman" w:cs="Arial"/>
          <w:b/>
          <w:b/>
          <w:bCs/>
          <w:caps/>
          <w:sz w:val="20"/>
          <w:szCs w:val="20"/>
        </w:rPr>
      </w:pPr>
      <w:r>
        <w:rPr>
          <w:rFonts w:eastAsia="Times New Roman" w:cs="Arial" w:ascii="Arial" w:hAnsi="Arial"/>
          <w:b/>
          <w:bCs/>
          <w:caps/>
          <w:sz w:val="20"/>
          <w:szCs w:val="20"/>
        </w:rPr>
        <w:t>All Saints Church, GRINSHILL</w:t>
      </w:r>
    </w:p>
    <w:p>
      <w:pPr>
        <w:pStyle w:val="Normal"/>
        <w:jc w:val="center"/>
        <w:rPr>
          <w:rFonts w:ascii="Arial" w:hAnsi="Arial" w:eastAsia="Times New Roman" w:cs="Arial"/>
          <w:b/>
          <w:b/>
          <w:bCs/>
          <w:caps/>
          <w:sz w:val="20"/>
          <w:szCs w:val="20"/>
        </w:rPr>
      </w:pPr>
      <w:r>
        <w:rPr>
          <w:rFonts w:eastAsia="Times New Roman" w:cs="Arial" w:ascii="Arial" w:hAnsi="Arial"/>
          <w:b/>
          <w:bCs/>
          <w:caps/>
          <w:sz w:val="20"/>
          <w:szCs w:val="20"/>
        </w:rPr>
        <w:t>ANNUAL FINANCIAL REPORT</w:t>
      </w:r>
    </w:p>
    <w:p>
      <w:pPr>
        <w:pStyle w:val="Normal"/>
        <w:jc w:val="center"/>
        <w:rPr>
          <w:rFonts w:ascii="Arial" w:hAnsi="Arial" w:eastAsia="Times New Roman" w:cs="Arial"/>
          <w:b/>
          <w:b/>
          <w:bCs/>
          <w:caps/>
          <w:sz w:val="20"/>
          <w:szCs w:val="20"/>
        </w:rPr>
      </w:pPr>
      <w:r>
        <w:rPr>
          <w:rFonts w:eastAsia="Times New Roman" w:cs="Arial" w:ascii="Arial" w:hAnsi="Arial"/>
          <w:b/>
          <w:bCs/>
          <w:caps/>
          <w:sz w:val="20"/>
          <w:szCs w:val="20"/>
        </w:rPr>
        <w:t>For The Year Ended 31st December 2019</w:t>
      </w:r>
    </w:p>
    <w:p>
      <w:pPr>
        <w:pStyle w:val="Normal"/>
        <w:jc w:val="center"/>
        <w:rPr>
          <w:rFonts w:ascii="Arial" w:hAnsi="Arial" w:eastAsia="Times New Roman" w:cs="Arial"/>
          <w:b/>
          <w:b/>
          <w:bCs/>
          <w:caps/>
          <w:sz w:val="20"/>
          <w:szCs w:val="20"/>
        </w:rPr>
      </w:pPr>
      <w:r>
        <w:rPr>
          <w:rFonts w:eastAsia="Times New Roman" w:cs="Arial" w:ascii="Arial" w:hAnsi="Arial"/>
          <w:b/>
          <w:bCs/>
          <w:caps/>
          <w:sz w:val="20"/>
          <w:szCs w:val="20"/>
        </w:rPr>
      </w:r>
    </w:p>
    <w:p>
      <w:pPr>
        <w:pStyle w:val="Normal"/>
        <w:jc w:val="center"/>
        <w:rPr>
          <w:rFonts w:ascii="Arial" w:hAnsi="Arial" w:eastAsia="Times New Roman" w:cs="Arial"/>
          <w:b/>
          <w:b/>
          <w:bCs/>
          <w:caps/>
          <w:sz w:val="20"/>
          <w:szCs w:val="20"/>
        </w:rPr>
      </w:pPr>
      <w:r>
        <w:rPr>
          <w:rFonts w:eastAsia="Times New Roman" w:cs="Arial" w:ascii="Arial" w:hAnsi="Arial"/>
          <w:b/>
          <w:bCs/>
          <w:caps/>
          <w:sz w:val="20"/>
          <w:szCs w:val="20"/>
        </w:rPr>
        <w:t>Presented to the annual parochial church meeting</w:t>
      </w:r>
    </w:p>
    <w:p>
      <w:pPr>
        <w:pStyle w:val="Normal"/>
        <w:jc w:val="center"/>
        <w:rPr>
          <w:rFonts w:ascii="Arial" w:hAnsi="Arial" w:eastAsia="Times New Roman" w:cs="Arial"/>
          <w:sz w:val="2"/>
          <w:szCs w:val="2"/>
        </w:rPr>
      </w:pPr>
      <w:r>
        <w:rPr>
          <w:rFonts w:eastAsia="Times New Roman" w:cs="Arial" w:ascii="Arial" w:hAnsi="Arial"/>
          <w:sz w:val="2"/>
          <w:szCs w:val="2"/>
        </w:rPr>
      </w:r>
      <w:r>
        <w:br w:type="page"/>
      </w:r>
    </w:p>
    <w:p>
      <w:pPr>
        <w:pStyle w:val="Normal"/>
        <w:rPr/>
      </w:pPr>
      <w:r>
        <w:rPr/>
        <mc:AlternateContent>
          <mc:Choice Requires="wps">
            <w:drawing>
              <wp:anchor behindDoc="0" distT="0" distB="3175" distL="0" distR="3175" simplePos="0" locked="0" layoutInCell="1" allowOverlap="1" relativeHeight="3">
                <wp:simplePos x="0" y="0"/>
                <wp:positionH relativeFrom="column">
                  <wp:posOffset>0</wp:posOffset>
                </wp:positionH>
                <wp:positionV relativeFrom="paragraph">
                  <wp:posOffset>635</wp:posOffset>
                </wp:positionV>
                <wp:extent cx="635635" cy="635635"/>
                <wp:effectExtent l="0" t="0" r="0" b="0"/>
                <wp:wrapNone/>
                <wp:docPr id="2" name="AutoShape 17"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
        <w:jc w:val="center"/>
        <w:rPr>
          <w:rFonts w:ascii="Arial" w:hAnsi="Arial" w:eastAsia="Times New Roman" w:cs="Arial"/>
          <w:sz w:val="2"/>
          <w:szCs w:val="2"/>
        </w:rPr>
      </w:pPr>
      <w:r>
        <w:rPr>
          <w:rFonts w:eastAsia="Times New Roman" w:cs="Arial" w:ascii="Arial" w:hAnsi="Arial"/>
          <w:sz w:val="2"/>
          <w:szCs w:val="2"/>
        </w:rPr>
        <mc:AlternateContent>
          <mc:Choice Requires="wps">
            <w:drawing>
              <wp:anchor behindDoc="0" distT="0" distB="0" distL="635" distR="0" simplePos="0" locked="0" layoutInCell="1" allowOverlap="1" relativeHeight="10">
                <wp:simplePos x="0" y="0"/>
                <wp:positionH relativeFrom="column">
                  <wp:posOffset>1619885</wp:posOffset>
                </wp:positionH>
                <wp:positionV relativeFrom="paragraph">
                  <wp:posOffset>8820150</wp:posOffset>
                </wp:positionV>
                <wp:extent cx="3600450" cy="1260475"/>
                <wp:effectExtent l="0" t="0" r="0" b="0"/>
                <wp:wrapNone/>
                <wp:docPr id="3" name="_p3"/>
                <a:graphic xmlns:a="http://schemas.openxmlformats.org/drawingml/2006/main">
                  <a:graphicData uri="http://schemas.microsoft.com/office/word/2010/wordprocessingShape">
                    <wps:wsp>
                      <wps:cNvSpPr/>
                      <wps:spPr>
                        <a:xfrm>
                          <a:off x="0" y="0"/>
                          <a:ext cx="3599640" cy="1260000"/>
                        </a:xfrm>
                        <a:prstGeom prst="rect">
                          <a:avLst/>
                        </a:prstGeom>
                        <a:noFill/>
                        <a:ln w="9360">
                          <a:solidFill>
                            <a:srgbClr val="000000"/>
                          </a:solidFill>
                          <a:round/>
                        </a:ln>
                      </wps:spPr>
                      <wps:style>
                        <a:lnRef idx="0"/>
                        <a:fillRef idx="0"/>
                        <a:effectRef idx="0"/>
                        <a:fontRef idx="minor"/>
                      </wps:style>
                      <wps:txbx>
                        <w:txbxContent>
                          <w:p>
                            <w:pPr>
                              <w:pStyle w:val="FrameContents"/>
                              <w:jc w:val="center"/>
                              <w:rPr/>
                            </w:pPr>
                            <w:r>
                              <w:rPr/>
                            </w:r>
                          </w:p>
                        </w:txbxContent>
                      </wps:txbx>
                      <wps:bodyPr anchor="b">
                        <a:noAutofit/>
                      </wps:bodyPr>
                    </wps:wsp>
                  </a:graphicData>
                </a:graphic>
              </wp:anchor>
            </w:drawing>
          </mc:Choice>
          <mc:Fallback>
            <w:pict/>
          </mc:Fallback>
        </mc:AlternateContent>
      </w:r>
    </w:p>
    <w:p>
      <w:pPr>
        <w:pStyle w:val="Normal"/>
        <w:jc w:val="center"/>
        <w:rPr>
          <w:rFonts w:ascii="Arial" w:hAnsi="Arial" w:eastAsia="Times New Roman" w:cs="Arial"/>
          <w:b/>
          <w:b/>
          <w:bCs/>
          <w:sz w:val="20"/>
          <w:szCs w:val="20"/>
        </w:rPr>
      </w:pPr>
      <w:r>
        <w:rPr>
          <w:rFonts w:eastAsia="Times New Roman" w:cs="Arial" w:ascii="Arial" w:hAnsi="Arial"/>
          <w:b/>
          <w:bCs/>
          <w:sz w:val="20"/>
          <w:szCs w:val="20"/>
        </w:rPr>
        <w:t>All Saints Church, Grinshill</w:t>
      </w:r>
    </w:p>
    <w:p>
      <w:pPr>
        <w:pStyle w:val="Normal"/>
        <w:jc w:val="center"/>
        <w:rPr>
          <w:rFonts w:ascii="Arial" w:hAnsi="Arial" w:eastAsia="Times New Roman" w:cs="Arial"/>
          <w:b/>
          <w:b/>
          <w:bCs/>
          <w:sz w:val="20"/>
          <w:szCs w:val="20"/>
        </w:rPr>
      </w:pPr>
      <w:r>
        <w:rPr>
          <w:rFonts w:eastAsia="Times New Roman" w:cs="Arial" w:ascii="Arial" w:hAnsi="Arial"/>
          <w:b/>
          <w:bCs/>
          <w:sz w:val="20"/>
          <w:szCs w:val="20"/>
        </w:rPr>
        <w:t>Contents of the Accounts</w:t>
      </w:r>
    </w:p>
    <w:p>
      <w:pPr>
        <w:pStyle w:val="Normal"/>
        <w:jc w:val="center"/>
        <w:rPr>
          <w:rFonts w:ascii="Arial" w:hAnsi="Arial" w:eastAsia="Times New Roman" w:cs="Arial"/>
          <w:b/>
          <w:b/>
          <w:bCs/>
          <w:sz w:val="20"/>
          <w:szCs w:val="20"/>
        </w:rPr>
      </w:pPr>
      <w:r>
        <w:rPr>
          <w:rFonts w:eastAsia="Times New Roman" w:cs="Arial" w:ascii="Arial" w:hAnsi="Arial"/>
          <w:b/>
          <w:bCs/>
          <w:sz w:val="20"/>
          <w:szCs w:val="20"/>
        </w:rPr>
        <w:t>For The Year Ended 31 December 2019</w:t>
      </w:r>
    </w:p>
    <w:tbl>
      <w:tblPr>
        <w:tblW w:w="5000" w:type="pct"/>
        <w:jc w:val="left"/>
        <w:tblInd w:w="45" w:type="dxa"/>
        <w:tblCellMar>
          <w:top w:w="15" w:type="dxa"/>
          <w:left w:w="45" w:type="dxa"/>
          <w:bottom w:w="150" w:type="dxa"/>
          <w:right w:w="45" w:type="dxa"/>
        </w:tblCellMar>
      </w:tblPr>
      <w:tblGrid>
        <w:gridCol w:w="10772"/>
      </w:tblGrid>
      <w:tr>
        <w:trPr>
          <w:trHeight w:val="1" w:hRule="exact"/>
        </w:trPr>
        <w:tc>
          <w:tcPr>
            <w:tcW w:w="10772" w:type="dxa"/>
            <w:tcBorders>
              <w:top w:val="single" w:sz="6" w:space="0" w:color="000000"/>
            </w:tcBorders>
            <w:vAlign w:val="center"/>
          </w:tcPr>
          <w:p>
            <w:pPr>
              <w:pStyle w:val="Normal"/>
              <w:rPr>
                <w:rFonts w:ascii="Arial" w:hAnsi="Arial" w:eastAsia="Times New Roman" w:cs="Arial"/>
                <w:sz w:val="20"/>
                <w:szCs w:val="20"/>
              </w:rPr>
            </w:pPr>
            <w:r>
              <w:rPr>
                <w:rFonts w:eastAsia="Times New Roman" w:cs="Arial" w:ascii="Arial" w:hAnsi="Arial"/>
                <w:sz w:val="20"/>
                <w:szCs w:val="20"/>
              </w:rPr>
            </w:r>
          </w:p>
        </w:tc>
      </w:tr>
    </w:tbl>
    <w:p>
      <w:pPr>
        <w:pStyle w:val="Normal"/>
        <w:rPr>
          <w:rFonts w:ascii="Arial" w:hAnsi="Arial" w:eastAsia="Times New Roman" w:cs="Arial"/>
          <w:vanish/>
          <w:sz w:val="20"/>
          <w:szCs w:val="20"/>
        </w:rPr>
      </w:pPr>
      <w:r>
        <w:rPr>
          <w:rFonts w:eastAsia="Times New Roman" w:cs="Arial" w:ascii="Arial" w:hAnsi="Arial"/>
          <w:vanish/>
          <w:sz w:val="20"/>
          <w:szCs w:val="20"/>
        </w:rPr>
        <w:t>Contents of the Accounts</w:t>
      </w:r>
    </w:p>
    <w:tbl>
      <w:tblPr>
        <w:tblW w:w="5000" w:type="pct"/>
        <w:jc w:val="left"/>
        <w:tblInd w:w="45" w:type="dxa"/>
        <w:tblCellMar>
          <w:top w:w="150" w:type="dxa"/>
          <w:left w:w="45" w:type="dxa"/>
          <w:bottom w:w="15" w:type="dxa"/>
          <w:right w:w="45" w:type="dxa"/>
        </w:tblCellMar>
      </w:tblPr>
      <w:tblGrid>
        <w:gridCol w:w="9526"/>
        <w:gridCol w:w="1246"/>
      </w:tblGrid>
      <w:tr>
        <w:trPr/>
        <w:tc>
          <w:tcPr>
            <w:tcW w:w="9526" w:type="dxa"/>
            <w:tcBorders/>
            <w:vAlign w:val="center"/>
          </w:tcPr>
          <w:p>
            <w:pPr>
              <w:pStyle w:val="Normal"/>
              <w:spacing w:before="150" w:after="0"/>
              <w:rPr>
                <w:rFonts w:ascii="Arial" w:hAnsi="Arial" w:eastAsia="Times New Roman" w:cs="Arial"/>
                <w:b/>
                <w:b/>
                <w:bCs/>
                <w:sz w:val="20"/>
                <w:szCs w:val="20"/>
              </w:rPr>
            </w:pPr>
            <w:r>
              <w:rPr>
                <w:rFonts w:eastAsia="Times New Roman" w:cs="Arial" w:ascii="Arial" w:hAnsi="Arial"/>
                <w:b/>
                <w:bCs/>
                <w:sz w:val="20"/>
                <w:szCs w:val="20"/>
              </w:rPr>
              <w:t xml:space="preserve">Contents </w:t>
            </w:r>
          </w:p>
        </w:tc>
        <w:tc>
          <w:tcPr>
            <w:tcW w:w="1246" w:type="dxa"/>
            <w:tcBorders/>
            <w:tcMar>
              <w:top w:w="15" w:type="dxa"/>
              <w:left w:w="15" w:type="dxa"/>
              <w:right w:w="15" w:type="dxa"/>
            </w:tcMar>
          </w:tcPr>
          <w:p>
            <w:pPr>
              <w:pStyle w:val="Normal"/>
              <w:rPr/>
            </w:pPr>
            <w:r>
              <w:rPr/>
            </w:r>
          </w:p>
        </w:tc>
      </w:tr>
      <w:tr>
        <w:trPr/>
        <w:tc>
          <w:tcPr>
            <w:tcW w:w="9526" w:type="dxa"/>
            <w:tcBorders/>
            <w:tcMar>
              <w:top w:w="15" w:type="dxa"/>
              <w:left w:w="15" w:type="dxa"/>
              <w:right w:w="15" w:type="dxa"/>
            </w:tcMar>
            <w:vAlign w:val="center"/>
          </w:tcPr>
          <w:p>
            <w:pPr>
              <w:pStyle w:val="Normal"/>
              <w:spacing w:before="150" w:after="0"/>
              <w:rPr>
                <w:rFonts w:ascii="Arial" w:hAnsi="Arial" w:eastAsia="Times New Roman" w:cs="Arial"/>
                <w:b/>
                <w:b/>
                <w:bCs/>
                <w:sz w:val="20"/>
                <w:szCs w:val="20"/>
              </w:rPr>
            </w:pPr>
            <w:r>
              <w:rPr>
                <w:rFonts w:eastAsia="Times New Roman" w:cs="Arial" w:ascii="Arial" w:hAnsi="Arial"/>
                <w:b/>
                <w:bCs/>
                <w:sz w:val="20"/>
                <w:szCs w:val="20"/>
              </w:rPr>
            </w:r>
          </w:p>
        </w:tc>
        <w:tc>
          <w:tcPr>
            <w:tcW w:w="1246" w:type="dxa"/>
            <w:tcBorders/>
            <w:tcMar>
              <w:top w:w="15" w:type="dxa"/>
              <w:left w:w="15" w:type="dxa"/>
              <w:right w:w="1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Page</w:t>
            </w:r>
          </w:p>
        </w:tc>
      </w:tr>
      <w:tr>
        <w:trPr>
          <w:trHeight w:val="1" w:hRule="exact"/>
        </w:trPr>
        <w:tc>
          <w:tcPr>
            <w:tcW w:w="9526" w:type="dxa"/>
            <w:tcBorders/>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6" w:type="dxa"/>
            <w:tcBorders/>
            <w:vAlign w:val="center"/>
          </w:tcPr>
          <w:p>
            <w:pPr>
              <w:pStyle w:val="Normal"/>
              <w:jc w:val="center"/>
              <w:rPr>
                <w:rFonts w:ascii="Arial" w:hAnsi="Arial" w:eastAsia="Times New Roman" w:cs="Arial"/>
                <w:sz w:val="20"/>
                <w:szCs w:val="20"/>
              </w:rPr>
            </w:pPr>
            <w:r>
              <w:rPr>
                <w:rFonts w:eastAsia="Times New Roman" w:cs="Arial" w:ascii="Arial" w:hAnsi="Arial"/>
                <w:sz w:val="20"/>
                <w:szCs w:val="20"/>
              </w:rPr>
            </w:r>
          </w:p>
        </w:tc>
      </w:tr>
      <w:tr>
        <w:trPr/>
        <w:tc>
          <w:tcPr>
            <w:tcW w:w="9526" w:type="dxa"/>
            <w:tcBorders/>
            <w:vAlign w:val="center"/>
          </w:tcPr>
          <w:p>
            <w:pPr>
              <w:pStyle w:val="Normal"/>
              <w:rPr/>
            </w:pPr>
            <w:r>
              <w:rPr>
                <w:rStyle w:val="InternetLink"/>
                <w:rFonts w:cs="Arial" w:ascii="Arial" w:hAnsi="Arial"/>
                <w:color w:val="auto"/>
                <w:sz w:val="20"/>
                <w:szCs w:val="20"/>
              </w:rPr>
              <w:t>Independent Examiner’s Report</w:t>
            </w:r>
          </w:p>
        </w:tc>
        <w:tc>
          <w:tcPr>
            <w:tcW w:w="1246" w:type="dxa"/>
            <w:tcBorders/>
            <w:vAlign w:val="center"/>
          </w:tcPr>
          <w:p>
            <w:pPr>
              <w:pStyle w:val="Normal"/>
              <w:jc w:val="center"/>
              <w:rPr>
                <w:rFonts w:ascii="Arial" w:hAnsi="Arial" w:eastAsia="Times New Roman" w:cs="Arial"/>
                <w:sz w:val="20"/>
                <w:szCs w:val="20"/>
              </w:rPr>
            </w:pPr>
            <w:r>
              <w:rPr>
                <w:rFonts w:eastAsia="Times New Roman" w:cs="Arial" w:ascii="Arial" w:hAnsi="Arial"/>
                <w:sz w:val="20"/>
                <w:szCs w:val="20"/>
              </w:rPr>
              <w:t>1</w:t>
            </w:r>
          </w:p>
        </w:tc>
      </w:tr>
      <w:tr>
        <w:trPr/>
        <w:tc>
          <w:tcPr>
            <w:tcW w:w="9526" w:type="dxa"/>
            <w:tcBorders/>
            <w:vAlign w:val="center"/>
          </w:tcPr>
          <w:p>
            <w:pPr>
              <w:pStyle w:val="Normal"/>
              <w:rPr>
                <w:rFonts w:ascii="Arial" w:hAnsi="Arial" w:cs="Arial"/>
                <w:sz w:val="20"/>
                <w:szCs w:val="20"/>
              </w:rPr>
            </w:pPr>
            <w:r>
              <w:rPr>
                <w:rFonts w:cs="Arial" w:ascii="Arial" w:hAnsi="Arial"/>
                <w:sz w:val="20"/>
                <w:szCs w:val="20"/>
              </w:rPr>
              <w:t>Statement of Financial Activities</w:t>
            </w:r>
          </w:p>
        </w:tc>
        <w:tc>
          <w:tcPr>
            <w:tcW w:w="1246" w:type="dxa"/>
            <w:tcBorders/>
            <w:vAlign w:val="center"/>
          </w:tcPr>
          <w:p>
            <w:pPr>
              <w:pStyle w:val="Normal"/>
              <w:jc w:val="center"/>
              <w:rPr>
                <w:rFonts w:ascii="Arial" w:hAnsi="Arial" w:eastAsia="Times New Roman" w:cs="Arial"/>
                <w:sz w:val="20"/>
                <w:szCs w:val="20"/>
              </w:rPr>
            </w:pPr>
            <w:r>
              <w:rPr>
                <w:rFonts w:eastAsia="Times New Roman" w:cs="Arial" w:ascii="Arial" w:hAnsi="Arial"/>
                <w:sz w:val="20"/>
                <w:szCs w:val="20"/>
              </w:rPr>
              <w:t>2</w:t>
            </w:r>
          </w:p>
        </w:tc>
      </w:tr>
      <w:tr>
        <w:trPr/>
        <w:tc>
          <w:tcPr>
            <w:tcW w:w="9526" w:type="dxa"/>
            <w:tcBorders/>
            <w:vAlign w:val="center"/>
          </w:tcPr>
          <w:p>
            <w:pPr>
              <w:pStyle w:val="Normal"/>
              <w:rPr/>
            </w:pPr>
            <w:hyperlink w:anchor="p_balance_sheet">
              <w:r>
                <w:rPr>
                  <w:rStyle w:val="InternetLink"/>
                  <w:rFonts w:eastAsia="Times New Roman" w:cs="Arial" w:ascii="Arial" w:hAnsi="Arial"/>
                  <w:color w:val="auto"/>
                  <w:sz w:val="20"/>
                  <w:szCs w:val="20"/>
                </w:rPr>
                <w:t>Balance Sheet</w:t>
              </w:r>
            </w:hyperlink>
          </w:p>
        </w:tc>
        <w:tc>
          <w:tcPr>
            <w:tcW w:w="1246" w:type="dxa"/>
            <w:tcBorders/>
            <w:vAlign w:val="center"/>
          </w:tcPr>
          <w:p>
            <w:pPr>
              <w:pStyle w:val="Normal"/>
              <w:jc w:val="center"/>
              <w:rPr>
                <w:rFonts w:ascii="Arial" w:hAnsi="Arial" w:eastAsia="Times New Roman" w:cs="Arial"/>
                <w:sz w:val="20"/>
                <w:szCs w:val="20"/>
              </w:rPr>
            </w:pPr>
            <w:r>
              <w:rPr>
                <w:rFonts w:eastAsia="Times New Roman" w:cs="Arial" w:ascii="Arial" w:hAnsi="Arial"/>
                <w:sz w:val="20"/>
                <w:szCs w:val="20"/>
              </w:rPr>
              <w:t>3</w:t>
            </w:r>
          </w:p>
        </w:tc>
      </w:tr>
      <w:tr>
        <w:trPr/>
        <w:tc>
          <w:tcPr>
            <w:tcW w:w="9526" w:type="dxa"/>
            <w:tcBorders/>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6" w:type="dxa"/>
            <w:tcBorders/>
            <w:vAlign w:val="center"/>
          </w:tcPr>
          <w:p>
            <w:pPr>
              <w:pStyle w:val="Normal"/>
              <w:jc w:val="center"/>
              <w:rPr>
                <w:rFonts w:ascii="Arial" w:hAnsi="Arial" w:eastAsia="Times New Roman" w:cs="Arial"/>
                <w:sz w:val="20"/>
                <w:szCs w:val="20"/>
              </w:rPr>
            </w:pPr>
            <w:r>
              <w:rPr>
                <w:rFonts w:eastAsia="Times New Roman" w:cs="Arial" w:ascii="Arial" w:hAnsi="Arial"/>
                <w:sz w:val="20"/>
                <w:szCs w:val="20"/>
              </w:rPr>
            </w:r>
          </w:p>
        </w:tc>
      </w:tr>
      <w:tr>
        <w:trPr/>
        <w:tc>
          <w:tcPr>
            <w:tcW w:w="9526" w:type="dxa"/>
            <w:tcBorders/>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6" w:type="dxa"/>
            <w:tcBorders/>
            <w:vAlign w:val="center"/>
          </w:tcPr>
          <w:p>
            <w:pPr>
              <w:pStyle w:val="Normal"/>
              <w:jc w:val="center"/>
              <w:rPr>
                <w:rFonts w:ascii="Arial" w:hAnsi="Arial" w:eastAsia="Times New Roman" w:cs="Arial"/>
                <w:sz w:val="20"/>
                <w:szCs w:val="20"/>
              </w:rPr>
            </w:pPr>
            <w:r>
              <w:rPr>
                <w:rFonts w:eastAsia="Times New Roman" w:cs="Arial" w:ascii="Arial" w:hAnsi="Arial"/>
                <w:sz w:val="20"/>
                <w:szCs w:val="20"/>
              </w:rPr>
            </w:r>
          </w:p>
        </w:tc>
      </w:tr>
    </w:tbl>
    <w:p>
      <w:pPr>
        <w:pStyle w:val="Normal"/>
        <w:jc w:val="center"/>
        <w:rPr>
          <w:rFonts w:ascii="Arial" w:hAnsi="Arial" w:eastAsia="Times New Roman" w:cs="Arial"/>
          <w:sz w:val="2"/>
          <w:szCs w:val="2"/>
        </w:rPr>
      </w:pPr>
      <w:r>
        <w:rPr>
          <w:rFonts w:eastAsia="Times New Roman" w:cs="Arial" w:ascii="Arial" w:hAnsi="Arial"/>
          <w:sz w:val="2"/>
          <w:szCs w:val="2"/>
        </w:rPr>
      </w:r>
      <w:r>
        <w:br w:type="page"/>
      </w:r>
    </w:p>
    <w:p>
      <w:pPr>
        <w:pStyle w:val="Normal"/>
        <w:rPr/>
      </w:pPr>
      <w:r>
        <w:rPr/>
        <mc:AlternateContent>
          <mc:Choice Requires="wps">
            <w:drawing>
              <wp:anchor behindDoc="0" distT="0" distB="3175" distL="0" distR="3175" simplePos="0" locked="0" layoutInCell="1" allowOverlap="1" relativeHeight="4">
                <wp:simplePos x="0" y="0"/>
                <wp:positionH relativeFrom="column">
                  <wp:posOffset>0</wp:posOffset>
                </wp:positionH>
                <wp:positionV relativeFrom="paragraph">
                  <wp:posOffset>635</wp:posOffset>
                </wp:positionV>
                <wp:extent cx="635635" cy="635635"/>
                <wp:effectExtent l="0" t="0" r="0" b="0"/>
                <wp:wrapNone/>
                <wp:docPr id="5" name="AutoShape 15"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
        <w:jc w:val="center"/>
        <w:rPr>
          <w:rFonts w:ascii="Arial" w:hAnsi="Arial" w:eastAsia="Times New Roman" w:cs="Arial"/>
          <w:sz w:val="2"/>
          <w:szCs w:val="2"/>
        </w:rPr>
      </w:pPr>
      <w:r>
        <w:rPr>
          <w:rFonts w:eastAsia="Times New Roman" w:cs="Arial" w:ascii="Arial" w:hAnsi="Arial"/>
          <w:sz w:val="2"/>
          <w:szCs w:val="2"/>
        </w:rPr>
        <mc:AlternateContent>
          <mc:Choice Requires="wps">
            <w:drawing>
              <wp:anchor behindDoc="0" distT="0" distB="3175" distL="0" distR="3175" simplePos="0" locked="0" layoutInCell="1" allowOverlap="1" relativeHeight="5">
                <wp:simplePos x="0" y="0"/>
                <wp:positionH relativeFrom="column">
                  <wp:posOffset>0</wp:posOffset>
                </wp:positionH>
                <wp:positionV relativeFrom="paragraph">
                  <wp:posOffset>635</wp:posOffset>
                </wp:positionV>
                <wp:extent cx="635635" cy="635635"/>
                <wp:effectExtent l="0" t="0" r="0" b="0"/>
                <wp:wrapNone/>
                <wp:docPr id="6" name="AutoShape 13"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mc:AlternateContent>
          <mc:Choice Requires="wps">
            <w:drawing>
              <wp:anchor behindDoc="0" distT="0" distB="0" distL="635" distR="0" simplePos="0" locked="0" layoutInCell="1" allowOverlap="1" relativeHeight="12">
                <wp:simplePos x="0" y="0"/>
                <wp:positionH relativeFrom="column">
                  <wp:posOffset>1619885</wp:posOffset>
                </wp:positionH>
                <wp:positionV relativeFrom="paragraph">
                  <wp:posOffset>8820150</wp:posOffset>
                </wp:positionV>
                <wp:extent cx="3600450" cy="1260475"/>
                <wp:effectExtent l="0" t="0" r="0" b="0"/>
                <wp:wrapNone/>
                <wp:docPr id="7" name="_p4"/>
                <a:graphic xmlns:a="http://schemas.openxmlformats.org/drawingml/2006/main">
                  <a:graphicData uri="http://schemas.microsoft.com/office/word/2010/wordprocessingShape">
                    <wps:wsp>
                      <wps:cNvSpPr/>
                      <wps:spPr>
                        <a:xfrm>
                          <a:off x="0" y="0"/>
                          <a:ext cx="3599640" cy="1260000"/>
                        </a:xfrm>
                        <a:prstGeom prst="rect">
                          <a:avLst/>
                        </a:prstGeom>
                        <a:noFill/>
                        <a:ln w="9360">
                          <a:solidFill>
                            <a:srgbClr val="000000"/>
                          </a:solidFill>
                          <a:round/>
                        </a:ln>
                      </wps:spPr>
                      <wps:style>
                        <a:lnRef idx="0"/>
                        <a:fillRef idx="0"/>
                        <a:effectRef idx="0"/>
                        <a:fontRef idx="minor"/>
                      </wps:style>
                      <wps:txbx>
                        <w:txbxContent>
                          <w:p>
                            <w:pPr>
                              <w:pStyle w:val="FrameContents"/>
                              <w:jc w:val="center"/>
                              <w:rPr/>
                            </w:pPr>
                            <w:r>
                              <w:rPr>
                                <w:rFonts w:eastAsia="Times New Roman"/>
                                <w:sz w:val="20"/>
                                <w:szCs w:val="20"/>
                              </w:rPr>
                              <w:t xml:space="preserve">Page 1 </w:t>
                            </w:r>
                          </w:p>
                        </w:txbxContent>
                      </wps:txbx>
                      <wps:bodyPr anchor="b">
                        <a:noAutofit/>
                      </wps:bodyPr>
                    </wps:wsp>
                  </a:graphicData>
                </a:graphic>
              </wp:anchor>
            </w:drawing>
          </mc:Choice>
          <mc:Fallback>
            <w:pict/>
          </mc:Fallback>
        </mc:AlternateContent>
      </w:r>
      <w:bookmarkStart w:id="0" w:name="flysheet"/>
      <w:bookmarkStart w:id="1" w:name="flysheet"/>
      <w:bookmarkEnd w:id="1"/>
    </w:p>
    <w:p>
      <w:pPr>
        <w:pStyle w:val="Normal"/>
        <w:jc w:val="center"/>
        <w:rPr>
          <w:rFonts w:ascii="Arial" w:hAnsi="Arial" w:eastAsia="Times New Roman" w:cs="Arial"/>
          <w:sz w:val="2"/>
          <w:szCs w:val="2"/>
        </w:rPr>
      </w:pPr>
      <w:r>
        <w:rPr>
          <w:rFonts w:eastAsia="Times New Roman" w:cs="Arial" w:ascii="Arial" w:hAnsi="Arial"/>
          <w:sz w:val="2"/>
          <w:szCs w:val="2"/>
        </w:rPr>
        <mc:AlternateContent>
          <mc:Choice Requires="wps">
            <w:drawing>
              <wp:anchor behindDoc="0" distT="0" distB="0" distL="635" distR="0" simplePos="0" locked="0" layoutInCell="1" allowOverlap="1" relativeHeight="14">
                <wp:simplePos x="0" y="0"/>
                <wp:positionH relativeFrom="column">
                  <wp:posOffset>1619885</wp:posOffset>
                </wp:positionH>
                <wp:positionV relativeFrom="paragraph">
                  <wp:posOffset>8820150</wp:posOffset>
                </wp:positionV>
                <wp:extent cx="3600450" cy="1260475"/>
                <wp:effectExtent l="0" t="0" r="0" b="0"/>
                <wp:wrapNone/>
                <wp:docPr id="9" name="_p5"/>
                <a:graphic xmlns:a="http://schemas.openxmlformats.org/drawingml/2006/main">
                  <a:graphicData uri="http://schemas.microsoft.com/office/word/2010/wordprocessingShape">
                    <wps:wsp>
                      <wps:cNvSpPr/>
                      <wps:spPr>
                        <a:xfrm>
                          <a:off x="0" y="0"/>
                          <a:ext cx="3599640" cy="1260000"/>
                        </a:xfrm>
                        <a:prstGeom prst="rect">
                          <a:avLst/>
                        </a:prstGeom>
                        <a:noFill/>
                        <a:ln w="9360">
                          <a:solidFill>
                            <a:srgbClr val="000000"/>
                          </a:solidFill>
                          <a:round/>
                        </a:ln>
                      </wps:spPr>
                      <wps:style>
                        <a:lnRef idx="0"/>
                        <a:fillRef idx="0"/>
                        <a:effectRef idx="0"/>
                        <a:fontRef idx="minor"/>
                      </wps:style>
                      <wps:txbx>
                        <w:txbxContent>
                          <w:p>
                            <w:pPr>
                              <w:pStyle w:val="FrameContents"/>
                              <w:jc w:val="center"/>
                              <w:rPr/>
                            </w:pPr>
                            <w:r>
                              <w:rPr/>
                            </w:r>
                          </w:p>
                        </w:txbxContent>
                      </wps:txbx>
                      <wps:bodyPr anchor="b">
                        <a:noAutofit/>
                      </wps:bodyPr>
                    </wps:wsp>
                  </a:graphicData>
                </a:graphic>
              </wp:anchor>
            </w:drawing>
          </mc:Choice>
          <mc:Fallback>
            <w:pict/>
          </mc:Fallback>
        </mc:AlternateContent>
      </w:r>
    </w:p>
    <w:p>
      <w:pPr>
        <w:pStyle w:val="Normal"/>
        <w:jc w:val="center"/>
        <w:rPr>
          <w:rFonts w:ascii="Arial" w:hAnsi="Arial" w:eastAsia="Times New Roman" w:cs="Arial"/>
          <w:b/>
          <w:b/>
          <w:bCs/>
          <w:sz w:val="20"/>
          <w:szCs w:val="20"/>
        </w:rPr>
      </w:pPr>
      <w:r>
        <w:rPr>
          <w:rFonts w:eastAsia="Times New Roman" w:cs="Arial" w:ascii="Arial" w:hAnsi="Arial"/>
          <w:b/>
          <w:bCs/>
          <w:sz w:val="20"/>
          <w:szCs w:val="20"/>
        </w:rPr>
        <w:t>All Saints Church, Grinshill</w:t>
      </w:r>
    </w:p>
    <w:p>
      <w:pPr>
        <w:pStyle w:val="Normal"/>
        <w:tabs>
          <w:tab w:val="left" w:pos="720" w:leader="none"/>
          <w:tab w:val="left" w:pos="1260" w:leader="none"/>
          <w:tab w:val="left" w:pos="7200" w:leader="none"/>
          <w:tab w:val="right" w:pos="9180" w:leader="none"/>
        </w:tabs>
        <w:jc w:val="center"/>
        <w:rPr>
          <w:rFonts w:ascii="Calibri" w:hAnsi="Calibri" w:eastAsia="Times New Roman"/>
          <w:b/>
          <w:b/>
          <w:sz w:val="22"/>
          <w:szCs w:val="20"/>
          <w:lang w:eastAsia="en-US"/>
        </w:rPr>
      </w:pPr>
      <w:r>
        <w:rPr>
          <w:rFonts w:eastAsia="Times New Roman" w:ascii="Calibri" w:hAnsi="Calibri"/>
          <w:b/>
          <w:sz w:val="22"/>
          <w:szCs w:val="20"/>
          <w:lang w:eastAsia="en-US"/>
        </w:rPr>
        <w:t>INDEPENDENT EXAMINER’S REPORT</w:t>
      </w:r>
    </w:p>
    <w:p>
      <w:pPr>
        <w:pStyle w:val="Normal"/>
        <w:tabs>
          <w:tab w:val="left" w:pos="720" w:leader="none"/>
          <w:tab w:val="left" w:pos="1260" w:leader="none"/>
          <w:tab w:val="left" w:pos="7200" w:leader="none"/>
          <w:tab w:val="right" w:pos="9180" w:leader="none"/>
        </w:tabs>
        <w:jc w:val="center"/>
        <w:rPr>
          <w:rFonts w:ascii="Arial" w:hAnsi="Arial" w:eastAsia="Times New Roman" w:cs="Arial"/>
          <w:b/>
          <w:b/>
          <w:bCs/>
          <w:sz w:val="20"/>
          <w:szCs w:val="20"/>
        </w:rPr>
      </w:pPr>
      <w:r>
        <w:rPr>
          <w:rFonts w:eastAsia="Times New Roman" w:cs="Arial" w:ascii="Arial" w:hAnsi="Arial"/>
          <w:b/>
          <w:bCs/>
          <w:sz w:val="20"/>
          <w:szCs w:val="20"/>
        </w:rPr>
        <w:t>For the Year Ended 31 December 2019</w:t>
      </w:r>
    </w:p>
    <w:tbl>
      <w:tblPr>
        <w:tblW w:w="5000" w:type="pct"/>
        <w:jc w:val="left"/>
        <w:tblInd w:w="45" w:type="dxa"/>
        <w:tblCellMar>
          <w:top w:w="15" w:type="dxa"/>
          <w:left w:w="45" w:type="dxa"/>
          <w:bottom w:w="150" w:type="dxa"/>
          <w:right w:w="45" w:type="dxa"/>
        </w:tblCellMar>
      </w:tblPr>
      <w:tblGrid>
        <w:gridCol w:w="10772"/>
      </w:tblGrid>
      <w:tr>
        <w:trPr>
          <w:trHeight w:val="1" w:hRule="exact"/>
        </w:trPr>
        <w:tc>
          <w:tcPr>
            <w:tcW w:w="10772" w:type="dxa"/>
            <w:tcBorders>
              <w:top w:val="single" w:sz="6" w:space="0" w:color="000000"/>
            </w:tcBorders>
            <w:vAlign w:val="center"/>
          </w:tcPr>
          <w:p>
            <w:pPr>
              <w:pStyle w:val="Normal"/>
              <w:rPr>
                <w:rFonts w:ascii="Arial" w:hAnsi="Arial" w:eastAsia="Times New Roman" w:cs="Arial"/>
                <w:sz w:val="20"/>
                <w:szCs w:val="20"/>
              </w:rPr>
            </w:pPr>
            <w:r>
              <w:rPr>
                <w:rFonts w:eastAsia="Times New Roman" w:cs="Arial" w:ascii="Arial" w:hAnsi="Arial"/>
                <w:sz w:val="20"/>
                <w:szCs w:val="20"/>
              </w:rPr>
            </w:r>
          </w:p>
        </w:tc>
      </w:tr>
    </w:tbl>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t>I report on the accounts of the church for the year ended 31 December 2019 which are set out on the pages contained here within.</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b/>
          <w:b/>
          <w:sz w:val="22"/>
          <w:szCs w:val="20"/>
          <w:lang w:eastAsia="en-US"/>
        </w:rPr>
      </w:pPr>
      <w:r>
        <w:rPr>
          <w:rFonts w:eastAsia="Times New Roman" w:ascii="Calibri" w:hAnsi="Calibri"/>
          <w:b/>
          <w:sz w:val="22"/>
          <w:szCs w:val="20"/>
          <w:lang w:eastAsia="en-US"/>
        </w:rPr>
        <w:t>Respective responsibilities of P.C.C. and examiner</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t>The P.C.C members are responsible for the preparation of the financial statements.  The P.C.C. members consider that an audit is not required for this year under section 144(2) of the Charities Act 2011 (the 2011 Act) and that an independent examination is needed.</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t>It is my responsibility to:</w:t>
      </w:r>
    </w:p>
    <w:p>
      <w:pPr>
        <w:pStyle w:val="Normal"/>
        <w:numPr>
          <w:ilvl w:val="0"/>
          <w:numId w:val="2"/>
        </w:numPr>
        <w:tabs>
          <w:tab w:val="clear" w:pos="720"/>
          <w:tab w:val="left" w:pos="7200" w:leader="none"/>
          <w:tab w:val="right" w:pos="9180" w:leader="none"/>
        </w:tabs>
        <w:ind w:left="540" w:right="0" w:hanging="540"/>
        <w:jc w:val="both"/>
        <w:rPr>
          <w:rFonts w:ascii="Calibri" w:hAnsi="Calibri" w:eastAsia="Times New Roman"/>
          <w:sz w:val="22"/>
          <w:szCs w:val="20"/>
          <w:lang w:eastAsia="en-US"/>
        </w:rPr>
      </w:pPr>
      <w:r>
        <w:rPr>
          <w:rFonts w:eastAsia="Times New Roman" w:ascii="Calibri" w:hAnsi="Calibri"/>
          <w:sz w:val="22"/>
          <w:szCs w:val="20"/>
          <w:lang w:eastAsia="en-US"/>
        </w:rPr>
        <w:t>examine the accounts under section 145 of the 2011 Act;</w:t>
      </w:r>
    </w:p>
    <w:p>
      <w:pPr>
        <w:pStyle w:val="Normal"/>
        <w:numPr>
          <w:ilvl w:val="0"/>
          <w:numId w:val="2"/>
        </w:numPr>
        <w:tabs>
          <w:tab w:val="left" w:pos="720" w:leader="none"/>
          <w:tab w:val="left" w:pos="7200" w:leader="none"/>
          <w:tab w:val="right" w:pos="9180" w:leader="none"/>
        </w:tabs>
        <w:ind w:left="540" w:right="0" w:hanging="540"/>
        <w:jc w:val="both"/>
        <w:rPr>
          <w:rFonts w:ascii="Calibri" w:hAnsi="Calibri" w:eastAsia="Times New Roman"/>
          <w:sz w:val="22"/>
          <w:szCs w:val="20"/>
          <w:lang w:eastAsia="en-US"/>
        </w:rPr>
      </w:pPr>
      <w:r>
        <w:rPr>
          <w:rFonts w:eastAsia="Times New Roman" w:ascii="Calibri" w:hAnsi="Calibri"/>
          <w:sz w:val="22"/>
          <w:szCs w:val="20"/>
          <w:lang w:eastAsia="en-US"/>
        </w:rPr>
        <w:t>follow the procedures laid down in the general Directions given by the Charity Commission under section 145(5)(b) of the 2011 Act; and</w:t>
      </w:r>
    </w:p>
    <w:p>
      <w:pPr>
        <w:pStyle w:val="Normal"/>
        <w:numPr>
          <w:ilvl w:val="0"/>
          <w:numId w:val="2"/>
        </w:numPr>
        <w:tabs>
          <w:tab w:val="left" w:pos="720" w:leader="none"/>
          <w:tab w:val="left" w:pos="7200" w:leader="none"/>
          <w:tab w:val="right" w:pos="9180" w:leader="none"/>
        </w:tabs>
        <w:ind w:left="540" w:right="0" w:hanging="540"/>
        <w:jc w:val="both"/>
        <w:rPr>
          <w:rFonts w:ascii="Calibri" w:hAnsi="Calibri" w:eastAsia="Times New Roman"/>
          <w:sz w:val="22"/>
          <w:szCs w:val="20"/>
          <w:lang w:eastAsia="en-US"/>
        </w:rPr>
      </w:pPr>
      <w:r>
        <w:rPr>
          <w:rFonts w:eastAsia="Times New Roman" w:ascii="Calibri" w:hAnsi="Calibri"/>
          <w:sz w:val="22"/>
          <w:szCs w:val="20"/>
          <w:lang w:eastAsia="en-US"/>
        </w:rPr>
        <w:t>state whether matters have come to my attention.</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b/>
          <w:b/>
          <w:sz w:val="22"/>
          <w:szCs w:val="20"/>
          <w:lang w:eastAsia="en-US"/>
        </w:rPr>
      </w:pPr>
      <w:r>
        <w:rPr>
          <w:rFonts w:eastAsia="Times New Roman" w:ascii="Calibri" w:hAnsi="Calibri"/>
          <w:b/>
          <w:sz w:val="22"/>
          <w:szCs w:val="20"/>
          <w:lang w:eastAsia="en-US"/>
        </w:rPr>
        <w:t>Basis of independent examiner's report</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t>My examination was carried out in accordance with the general Directions given by the Charity Commission.  An examination includes a review of the accounting records kept by the charity and a comparison of the accounts presented with those records.  It also includes consideration of any unusual items or disclosures in the accounts and seeking explanations from you as P.C.C. members concerning any such matters.  The procedures undertaken do not provide all the evidence that would be required in an audit and consequently no opinion is given as to whether the accounts present a “true and fair view” and the report is limited to those matters set out in the statement below.</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b/>
          <w:b/>
          <w:sz w:val="22"/>
          <w:szCs w:val="20"/>
          <w:lang w:eastAsia="en-US"/>
        </w:rPr>
      </w:pPr>
      <w:r>
        <w:rPr>
          <w:rFonts w:eastAsia="Times New Roman" w:ascii="Calibri" w:hAnsi="Calibri"/>
          <w:b/>
          <w:sz w:val="22"/>
          <w:szCs w:val="20"/>
          <w:lang w:eastAsia="en-US"/>
        </w:rPr>
        <w:t>Independent examiner's statement</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t>In connection with my examination, no matter has come to my attention:</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clear" w:pos="720"/>
          <w:tab w:val="left" w:pos="540" w:leader="none"/>
          <w:tab w:val="left" w:pos="1260" w:leader="none"/>
          <w:tab w:val="left" w:pos="7200" w:leader="none"/>
          <w:tab w:val="right" w:pos="9180" w:leader="none"/>
        </w:tabs>
        <w:ind w:left="540" w:right="0" w:hanging="540"/>
        <w:jc w:val="both"/>
        <w:rPr>
          <w:rFonts w:ascii="Calibri" w:hAnsi="Calibri" w:eastAsia="Times New Roman"/>
          <w:sz w:val="22"/>
          <w:szCs w:val="20"/>
          <w:lang w:eastAsia="en-US"/>
        </w:rPr>
      </w:pPr>
      <w:r>
        <w:rPr>
          <w:rFonts w:eastAsia="Times New Roman" w:ascii="Calibri" w:hAnsi="Calibri"/>
          <w:sz w:val="22"/>
          <w:szCs w:val="20"/>
          <w:lang w:eastAsia="en-US"/>
        </w:rPr>
        <w:t>1</w:t>
        <w:tab/>
        <w:t>which gives me reasonable cause to believe that, in any material respect, the requirements:</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numPr>
          <w:ilvl w:val="0"/>
          <w:numId w:val="2"/>
        </w:numPr>
        <w:tabs>
          <w:tab w:val="clear" w:pos="720"/>
          <w:tab w:val="left" w:pos="1080" w:leader="none"/>
          <w:tab w:val="left" w:pos="7200" w:leader="none"/>
          <w:tab w:val="right" w:pos="9180" w:leader="none"/>
        </w:tabs>
        <w:ind w:left="1080" w:right="0" w:hanging="540"/>
        <w:jc w:val="both"/>
        <w:rPr>
          <w:rFonts w:ascii="Calibri" w:hAnsi="Calibri" w:eastAsia="Times New Roman"/>
          <w:sz w:val="22"/>
          <w:szCs w:val="20"/>
          <w:lang w:eastAsia="en-US"/>
        </w:rPr>
      </w:pPr>
      <w:r>
        <w:rPr>
          <w:rFonts w:eastAsia="Times New Roman" w:ascii="Calibri" w:hAnsi="Calibri"/>
          <w:sz w:val="22"/>
          <w:szCs w:val="20"/>
          <w:lang w:eastAsia="en-US"/>
        </w:rPr>
        <w:t>to keep accounting records in accordance with section 130 of the 2011 Act; and</w:t>
      </w:r>
    </w:p>
    <w:p>
      <w:pPr>
        <w:pStyle w:val="Normal"/>
        <w:numPr>
          <w:ilvl w:val="0"/>
          <w:numId w:val="3"/>
        </w:numPr>
        <w:tabs>
          <w:tab w:val="clear" w:pos="720"/>
          <w:tab w:val="left" w:pos="1080" w:leader="none"/>
          <w:tab w:val="left" w:pos="7200" w:leader="none"/>
          <w:tab w:val="right" w:pos="9180" w:leader="none"/>
        </w:tabs>
        <w:ind w:left="1080" w:right="0" w:hanging="540"/>
        <w:jc w:val="both"/>
        <w:rPr>
          <w:rFonts w:ascii="Calibri" w:hAnsi="Calibri" w:eastAsia="Times New Roman"/>
          <w:sz w:val="22"/>
          <w:szCs w:val="20"/>
          <w:lang w:eastAsia="en-US"/>
        </w:rPr>
      </w:pPr>
      <w:r>
        <w:rPr>
          <w:rFonts w:eastAsia="Times New Roman" w:ascii="Calibri" w:hAnsi="Calibri"/>
          <w:sz w:val="22"/>
          <w:szCs w:val="20"/>
          <w:lang w:eastAsia="en-US"/>
        </w:rPr>
        <w:t>to prepare accounts which accord with the accounting records and comply with the accounting requirements of the 2011 Act</w:t>
      </w:r>
    </w:p>
    <w:p>
      <w:pPr>
        <w:pStyle w:val="Normal"/>
        <w:tabs>
          <w:tab w:val="clear" w:pos="720"/>
          <w:tab w:val="left" w:pos="7200" w:leader="none"/>
          <w:tab w:val="right" w:pos="9180" w:leader="none"/>
        </w:tabs>
        <w:ind w:left="540" w:right="0" w:hanging="0"/>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clear" w:pos="720"/>
          <w:tab w:val="left" w:pos="7200" w:leader="none"/>
          <w:tab w:val="right" w:pos="9180" w:leader="none"/>
        </w:tabs>
        <w:ind w:left="540" w:right="0" w:hanging="0"/>
        <w:jc w:val="both"/>
        <w:rPr>
          <w:rFonts w:ascii="Calibri" w:hAnsi="Calibri" w:eastAsia="Times New Roman"/>
          <w:sz w:val="22"/>
          <w:szCs w:val="20"/>
          <w:lang w:eastAsia="en-US"/>
        </w:rPr>
      </w:pPr>
      <w:r>
        <w:rPr>
          <w:rFonts w:eastAsia="Times New Roman" w:ascii="Calibri" w:hAnsi="Calibri"/>
          <w:sz w:val="22"/>
          <w:szCs w:val="20"/>
          <w:lang w:eastAsia="en-US"/>
        </w:rPr>
        <w:t>have not been met; or</w:t>
      </w:r>
    </w:p>
    <w:p>
      <w:pPr>
        <w:pStyle w:val="Normal"/>
        <w:tabs>
          <w:tab w:val="left" w:pos="720" w:leader="none"/>
          <w:tab w:val="left" w:pos="1080" w:leader="none"/>
          <w:tab w:val="left" w:pos="7200" w:leader="none"/>
          <w:tab w:val="right" w:pos="9180" w:leader="none"/>
        </w:tabs>
        <w:ind w:left="1080" w:right="0" w:hanging="540"/>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clear" w:pos="720"/>
          <w:tab w:val="left" w:pos="540" w:leader="none"/>
          <w:tab w:val="left" w:pos="1260" w:leader="none"/>
          <w:tab w:val="left" w:pos="7200" w:leader="none"/>
          <w:tab w:val="right" w:pos="9180" w:leader="none"/>
        </w:tabs>
        <w:ind w:left="540" w:right="0" w:hanging="540"/>
        <w:jc w:val="both"/>
        <w:rPr>
          <w:rFonts w:ascii="Calibri" w:hAnsi="Calibri" w:eastAsia="Times New Roman"/>
          <w:sz w:val="22"/>
          <w:szCs w:val="20"/>
          <w:lang w:eastAsia="en-US"/>
        </w:rPr>
      </w:pPr>
      <w:r>
        <w:rPr>
          <w:rFonts w:eastAsia="Times New Roman" w:ascii="Calibri" w:hAnsi="Calibri"/>
          <w:sz w:val="22"/>
          <w:szCs w:val="20"/>
          <w:lang w:eastAsia="en-US"/>
        </w:rPr>
        <w:t>2</w:t>
        <w:tab/>
        <w:t>to which, in my opinion, attention should be drawn in order to enable a proper understanding of the accounts to be reached.</w:t>
      </w:r>
    </w:p>
    <w:p>
      <w:pPr>
        <w:pStyle w:val="Normal"/>
        <w:tabs>
          <w:tab w:val="left" w:pos="720" w:leader="none"/>
          <w:tab w:val="left" w:pos="1260" w:leader="none"/>
          <w:tab w:val="left" w:pos="7200" w:leader="none"/>
          <w:tab w:val="right" w:pos="918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t>Signed…………………………………..</w:t>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t>Mr T R Downes</w:t>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t xml:space="preserve">Address: </w:t>
        <w:tab/>
        <w:t>Broadoak</w:t>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tab/>
        <w:tab/>
        <w:t>Broadhay Lane</w:t>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tab/>
        <w:tab/>
        <w:t>Lower Heath</w:t>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tab/>
        <w:tab/>
        <w:t>SY13 2BJ</w:t>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r>
    </w:p>
    <w:p>
      <w:pPr>
        <w:pStyle w:val="Normal"/>
        <w:tabs>
          <w:tab w:val="left" w:pos="720" w:leader="none"/>
          <w:tab w:val="left" w:pos="1260" w:leader="none"/>
          <w:tab w:val="right" w:pos="9000" w:leader="none"/>
        </w:tabs>
        <w:jc w:val="both"/>
        <w:rPr>
          <w:rFonts w:ascii="Calibri" w:hAnsi="Calibri" w:eastAsia="Times New Roman"/>
          <w:sz w:val="22"/>
          <w:szCs w:val="20"/>
          <w:lang w:eastAsia="en-US"/>
        </w:rPr>
      </w:pPr>
      <w:r>
        <w:rPr>
          <w:rFonts w:eastAsia="Times New Roman" w:ascii="Calibri" w:hAnsi="Calibri"/>
          <w:sz w:val="22"/>
          <w:szCs w:val="20"/>
          <w:lang w:eastAsia="en-US"/>
        </w:rPr>
        <w:t>Date:</w:t>
      </w:r>
    </w:p>
    <w:p>
      <w:pPr>
        <w:pStyle w:val="Normal"/>
        <w:rPr>
          <w:rFonts w:ascii="Arial" w:hAnsi="Arial" w:eastAsia="Times New Roman" w:cs="Arial"/>
          <w:vanish/>
          <w:sz w:val="20"/>
          <w:szCs w:val="20"/>
        </w:rPr>
      </w:pPr>
      <w:r>
        <w:rPr>
          <w:rFonts w:eastAsia="Times New Roman" w:cs="Arial" w:ascii="Arial" w:hAnsi="Arial"/>
          <w:vanish/>
          <w:sz w:val="20"/>
          <w:szCs w:val="20"/>
        </w:rPr>
        <w:t>Accounts Approval Statement</w:t>
      </w:r>
    </w:p>
    <w:p>
      <w:pPr>
        <w:pStyle w:val="Normal"/>
        <w:jc w:val="center"/>
        <w:rPr>
          <w:rFonts w:ascii="Arial" w:hAnsi="Arial" w:eastAsia="Times New Roman" w:cs="Arial"/>
          <w:sz w:val="2"/>
          <w:szCs w:val="2"/>
        </w:rPr>
      </w:pPr>
      <w:r>
        <w:rPr>
          <w:rFonts w:eastAsia="Times New Roman" w:cs="Arial" w:ascii="Arial" w:hAnsi="Arial"/>
          <w:sz w:val="2"/>
          <w:szCs w:val="2"/>
        </w:rPr>
      </w:r>
      <w:bookmarkStart w:id="2" w:name="flysheet"/>
      <w:bookmarkStart w:id="3" w:name="flysheet"/>
      <w:bookmarkEnd w:id="3"/>
      <w:r>
        <w:br w:type="page"/>
      </w:r>
    </w:p>
    <w:p>
      <w:pPr>
        <w:pStyle w:val="Normal"/>
        <w:rPr/>
      </w:pPr>
      <w:r>
        <w:rPr/>
        <mc:AlternateContent>
          <mc:Choice Requires="wps">
            <w:drawing>
              <wp:anchor behindDoc="0" distT="0" distB="3175" distL="0" distR="3175" simplePos="0" locked="0" layoutInCell="1" allowOverlap="1" relativeHeight="6">
                <wp:simplePos x="0" y="0"/>
                <wp:positionH relativeFrom="column">
                  <wp:posOffset>0</wp:posOffset>
                </wp:positionH>
                <wp:positionV relativeFrom="paragraph">
                  <wp:posOffset>635</wp:posOffset>
                </wp:positionV>
                <wp:extent cx="635635" cy="635635"/>
                <wp:effectExtent l="0" t="0" r="0" b="0"/>
                <wp:wrapNone/>
                <wp:docPr id="11" name="AutoShape 11"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
        <w:jc w:val="center"/>
        <w:rPr>
          <w:rFonts w:ascii="Arial" w:hAnsi="Arial" w:eastAsia="Times New Roman" w:cs="Arial"/>
          <w:sz w:val="2"/>
          <w:szCs w:val="2"/>
        </w:rPr>
      </w:pPr>
      <w:r>
        <w:rPr>
          <w:rFonts w:eastAsia="Times New Roman" w:cs="Arial" w:ascii="Arial" w:hAnsi="Arial"/>
          <w:sz w:val="2"/>
          <w:szCs w:val="2"/>
        </w:rPr>
        <mc:AlternateContent>
          <mc:Choice Requires="wps">
            <w:drawing>
              <wp:anchor behindDoc="0" distT="0" distB="0" distL="635" distR="0" simplePos="0" locked="0" layoutInCell="1" allowOverlap="1" relativeHeight="16">
                <wp:simplePos x="0" y="0"/>
                <wp:positionH relativeFrom="column">
                  <wp:posOffset>1619885</wp:posOffset>
                </wp:positionH>
                <wp:positionV relativeFrom="paragraph">
                  <wp:posOffset>8820150</wp:posOffset>
                </wp:positionV>
                <wp:extent cx="3600450" cy="1260475"/>
                <wp:effectExtent l="0" t="0" r="0" b="0"/>
                <wp:wrapNone/>
                <wp:docPr id="12" name="_p6"/>
                <a:graphic xmlns:a="http://schemas.openxmlformats.org/drawingml/2006/main">
                  <a:graphicData uri="http://schemas.microsoft.com/office/word/2010/wordprocessingShape">
                    <wps:wsp>
                      <wps:cNvSpPr/>
                      <wps:spPr>
                        <a:xfrm>
                          <a:off x="0" y="0"/>
                          <a:ext cx="3599640" cy="1260000"/>
                        </a:xfrm>
                        <a:prstGeom prst="rect">
                          <a:avLst/>
                        </a:prstGeom>
                        <a:noFill/>
                        <a:ln w="9360">
                          <a:solidFill>
                            <a:srgbClr val="000000"/>
                          </a:solidFill>
                          <a:round/>
                        </a:ln>
                      </wps:spPr>
                      <wps:style>
                        <a:lnRef idx="0"/>
                        <a:fillRef idx="0"/>
                        <a:effectRef idx="0"/>
                        <a:fontRef idx="minor"/>
                      </wps:style>
                      <wps:txbx>
                        <w:txbxContent>
                          <w:p>
                            <w:pPr>
                              <w:pStyle w:val="FrameContents"/>
                              <w:jc w:val="center"/>
                              <w:rPr/>
                            </w:pPr>
                            <w:r>
                              <w:rPr>
                                <w:rFonts w:eastAsia="Times New Roman"/>
                                <w:sz w:val="20"/>
                                <w:szCs w:val="20"/>
                              </w:rPr>
                              <w:t xml:space="preserve">Page 2 </w:t>
                            </w:r>
                          </w:p>
                        </w:txbxContent>
                      </wps:txbx>
                      <wps:bodyPr anchor="b">
                        <a:noAutofit/>
                      </wps:bodyPr>
                    </wps:wsp>
                  </a:graphicData>
                </a:graphic>
              </wp:anchor>
            </w:drawing>
          </mc:Choice>
          <mc:Fallback>
            <w:pict/>
          </mc:Fallback>
        </mc:AlternateContent>
      </w:r>
      <w:bookmarkStart w:id="4" w:name="approval"/>
      <w:bookmarkStart w:id="5" w:name="approval"/>
      <w:bookmarkEnd w:id="5"/>
    </w:p>
    <w:p>
      <w:pPr>
        <w:pStyle w:val="Normal"/>
        <w:jc w:val="center"/>
        <w:rPr>
          <w:rFonts w:ascii="Arial" w:hAnsi="Arial" w:eastAsia="Times New Roman" w:cs="Arial"/>
          <w:sz w:val="2"/>
          <w:szCs w:val="2"/>
        </w:rPr>
      </w:pPr>
      <w:r>
        <w:rPr>
          <w:rFonts w:eastAsia="Times New Roman" w:cs="Arial" w:ascii="Arial" w:hAnsi="Arial"/>
          <w:sz w:val="2"/>
          <w:szCs w:val="2"/>
        </w:rPr>
        <mc:AlternateContent>
          <mc:Choice Requires="wps">
            <w:drawing>
              <wp:anchor behindDoc="0" distT="0" distB="3175" distL="0" distR="3175" simplePos="0" locked="0" layoutInCell="1" allowOverlap="1" relativeHeight="7">
                <wp:simplePos x="0" y="0"/>
                <wp:positionH relativeFrom="column">
                  <wp:posOffset>0</wp:posOffset>
                </wp:positionH>
                <wp:positionV relativeFrom="paragraph">
                  <wp:posOffset>635</wp:posOffset>
                </wp:positionV>
                <wp:extent cx="635635" cy="635635"/>
                <wp:effectExtent l="0" t="0" r="0" b="0"/>
                <wp:wrapNone/>
                <wp:docPr id="14" name="AutoShape 9"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
        <w:jc w:val="center"/>
        <w:rPr>
          <w:rFonts w:ascii="Arial" w:hAnsi="Arial" w:eastAsia="Times New Roman" w:cs="Arial"/>
          <w:sz w:val="2"/>
          <w:szCs w:val="2"/>
        </w:rPr>
      </w:pPr>
      <w:r>
        <w:rPr>
          <w:rFonts w:eastAsia="Times New Roman" w:cs="Arial" w:ascii="Arial" w:hAnsi="Arial"/>
          <w:sz w:val="2"/>
          <w:szCs w:val="2"/>
        </w:rPr>
      </w:r>
    </w:p>
    <w:p>
      <w:pPr>
        <w:pStyle w:val="Normal"/>
        <w:jc w:val="center"/>
        <w:rPr>
          <w:rFonts w:ascii="Arial" w:hAnsi="Arial" w:eastAsia="Times New Roman" w:cs="Arial"/>
          <w:b/>
          <w:b/>
          <w:bCs/>
          <w:sz w:val="20"/>
          <w:szCs w:val="20"/>
        </w:rPr>
      </w:pPr>
      <w:r>
        <w:rPr>
          <w:rFonts w:eastAsia="Times New Roman" w:cs="Arial" w:ascii="Arial" w:hAnsi="Arial"/>
          <w:b/>
          <w:bCs/>
          <w:sz w:val="20"/>
          <w:szCs w:val="20"/>
        </w:rPr>
        <w:t>All Saints Church, Grinshill</w:t>
      </w:r>
    </w:p>
    <w:p>
      <w:pPr>
        <w:pStyle w:val="Normal"/>
        <w:jc w:val="center"/>
        <w:rPr>
          <w:rFonts w:ascii="Arial" w:hAnsi="Arial" w:eastAsia="Times New Roman" w:cs="Arial"/>
          <w:b/>
          <w:b/>
          <w:bCs/>
          <w:sz w:val="20"/>
          <w:szCs w:val="20"/>
        </w:rPr>
      </w:pPr>
      <w:r>
        <w:rPr>
          <w:rFonts w:eastAsia="Times New Roman" w:cs="Arial" w:ascii="Arial" w:hAnsi="Arial"/>
          <w:b/>
          <w:bCs/>
          <w:sz w:val="20"/>
          <w:szCs w:val="20"/>
        </w:rPr>
        <w:t>Statement of Financial Activities</w:t>
      </w:r>
    </w:p>
    <w:p>
      <w:pPr>
        <w:pStyle w:val="Normal"/>
        <w:jc w:val="center"/>
        <w:rPr>
          <w:rFonts w:ascii="Arial" w:hAnsi="Arial" w:eastAsia="Times New Roman" w:cs="Arial"/>
          <w:b/>
          <w:b/>
          <w:bCs/>
          <w:sz w:val="20"/>
          <w:szCs w:val="20"/>
        </w:rPr>
      </w:pPr>
      <w:r>
        <w:rPr>
          <w:rFonts w:eastAsia="Times New Roman" w:cs="Arial" w:ascii="Arial" w:hAnsi="Arial"/>
          <w:b/>
          <w:bCs/>
          <w:sz w:val="20"/>
          <w:szCs w:val="20"/>
        </w:rPr>
        <w:t>For The Year Ended 31 December 2019</w:t>
      </w:r>
    </w:p>
    <w:tbl>
      <w:tblPr>
        <w:tblW w:w="5000" w:type="pct"/>
        <w:jc w:val="left"/>
        <w:tblInd w:w="45" w:type="dxa"/>
        <w:tblCellMar>
          <w:top w:w="15" w:type="dxa"/>
          <w:left w:w="45" w:type="dxa"/>
          <w:bottom w:w="150" w:type="dxa"/>
          <w:right w:w="45" w:type="dxa"/>
        </w:tblCellMar>
      </w:tblPr>
      <w:tblGrid>
        <w:gridCol w:w="10772"/>
      </w:tblGrid>
      <w:tr>
        <w:trPr>
          <w:trHeight w:val="1" w:hRule="exact"/>
        </w:trPr>
        <w:tc>
          <w:tcPr>
            <w:tcW w:w="10772" w:type="dxa"/>
            <w:tcBorders>
              <w:top w:val="single" w:sz="6" w:space="0" w:color="000000"/>
            </w:tcBorders>
            <w:vAlign w:val="center"/>
          </w:tcPr>
          <w:p>
            <w:pPr>
              <w:pStyle w:val="Normal"/>
              <w:rPr>
                <w:rFonts w:ascii="Arial" w:hAnsi="Arial" w:eastAsia="Times New Roman" w:cs="Arial"/>
                <w:sz w:val="20"/>
                <w:szCs w:val="20"/>
              </w:rPr>
            </w:pPr>
            <w:r>
              <w:rPr>
                <w:rFonts w:eastAsia="Times New Roman" w:cs="Arial" w:ascii="Arial" w:hAnsi="Arial"/>
                <w:sz w:val="20"/>
                <w:szCs w:val="20"/>
              </w:rPr>
            </w:r>
          </w:p>
        </w:tc>
      </w:tr>
    </w:tbl>
    <w:p>
      <w:pPr>
        <w:pStyle w:val="Normal"/>
        <w:rPr>
          <w:rFonts w:ascii="Arial" w:hAnsi="Arial" w:eastAsia="Times New Roman" w:cs="Arial"/>
          <w:vanish/>
          <w:sz w:val="20"/>
          <w:szCs w:val="20"/>
        </w:rPr>
      </w:pPr>
      <w:r>
        <w:rPr>
          <w:rFonts w:eastAsia="Times New Roman" w:cs="Arial" w:ascii="Arial" w:hAnsi="Arial"/>
          <w:vanish/>
          <w:sz w:val="20"/>
          <w:szCs w:val="20"/>
        </w:rPr>
        <w:t>Profit and Loss Account</w:t>
      </w:r>
    </w:p>
    <w:tbl>
      <w:tblPr>
        <w:tblW w:w="5000" w:type="pct"/>
        <w:jc w:val="left"/>
        <w:tblInd w:w="15" w:type="dxa"/>
        <w:tblCellMar>
          <w:top w:w="15" w:type="dxa"/>
          <w:left w:w="15" w:type="dxa"/>
          <w:bottom w:w="15" w:type="dxa"/>
          <w:right w:w="15" w:type="dxa"/>
        </w:tblCellMar>
      </w:tblPr>
      <w:tblGrid>
        <w:gridCol w:w="5711"/>
        <w:gridCol w:w="1230"/>
        <w:gridCol w:w="1230"/>
        <w:gridCol w:w="125"/>
        <w:gridCol w:w="1231"/>
        <w:gridCol w:w="1245"/>
      </w:tblGrid>
      <w:tr>
        <w:trPr/>
        <w:tc>
          <w:tcPr>
            <w:tcW w:w="5711" w:type="dxa"/>
            <w:tcBorders/>
            <w:vAlign w:val="center"/>
          </w:tcPr>
          <w:p>
            <w:pPr>
              <w:pStyle w:val="Normal"/>
              <w:rPr>
                <w:rFonts w:ascii="Arial" w:hAnsi="Arial" w:eastAsia="Times New Roman" w:cs="Arial"/>
                <w:vanish/>
                <w:sz w:val="20"/>
                <w:szCs w:val="20"/>
              </w:rPr>
            </w:pPr>
            <w:r>
              <w:rPr>
                <w:rFonts w:eastAsia="Times New Roman" w:cs="Arial" w:ascii="Arial" w:hAnsi="Arial"/>
                <w:vanish/>
                <w:sz w:val="20"/>
                <w:szCs w:val="20"/>
              </w:rPr>
            </w:r>
          </w:p>
        </w:tc>
        <w:tc>
          <w:tcPr>
            <w:tcW w:w="2460" w:type="dxa"/>
            <w:gridSpan w:val="2"/>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2019</w:t>
            </w:r>
          </w:p>
        </w:tc>
        <w:tc>
          <w:tcPr>
            <w:tcW w:w="125"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2476" w:type="dxa"/>
            <w:gridSpan w:val="2"/>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2018</w:t>
            </w:r>
          </w:p>
        </w:tc>
      </w:tr>
      <w:tr>
        <w:trPr/>
        <w:tc>
          <w:tcPr>
            <w:tcW w:w="5711"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c>
          <w:tcPr>
            <w:tcW w:w="1230"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c>
          <w:tcPr>
            <w:tcW w:w="125"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1"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c>
          <w:tcPr>
            <w:tcW w:w="1245"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r>
      <w:tr>
        <w:trPr/>
        <w:tc>
          <w:tcPr>
            <w:tcW w:w="5711" w:type="dxa"/>
            <w:tcBorders/>
            <w:tcMar>
              <w:left w:w="45" w:type="dxa"/>
              <w:right w:w="45" w:type="dxa"/>
            </w:tcMar>
            <w:vAlign w:val="center"/>
          </w:tcPr>
          <w:p>
            <w:pPr>
              <w:pStyle w:val="Normal"/>
              <w:spacing w:before="150" w:after="0"/>
              <w:rPr>
                <w:rFonts w:ascii="Arial" w:hAnsi="Arial" w:eastAsia="Times New Roman" w:cs="Arial"/>
                <w:b/>
                <w:b/>
                <w:bCs/>
                <w:sz w:val="20"/>
                <w:szCs w:val="20"/>
              </w:rPr>
            </w:pPr>
            <w:r>
              <w:rPr>
                <w:rFonts w:eastAsia="Times New Roman" w:cs="Arial" w:ascii="Arial" w:hAnsi="Arial"/>
                <w:b/>
                <w:bCs/>
                <w:sz w:val="20"/>
                <w:szCs w:val="20"/>
              </w:rPr>
              <w:t xml:space="preserve">Incoming Resources </w:t>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5" w:type="dxa"/>
            <w:tcBorders/>
            <w:vAlign w:val="center"/>
          </w:tcPr>
          <w:p>
            <w:pPr>
              <w:pStyle w:val="Normal"/>
              <w:rPr>
                <w:rFonts w:eastAsia="Times New Roman"/>
                <w:sz w:val="20"/>
                <w:szCs w:val="20"/>
              </w:rPr>
            </w:pPr>
            <w:r>
              <w:rPr>
                <w:rFonts w:eastAsia="Times New Roman"/>
                <w:sz w:val="20"/>
                <w:szCs w:val="20"/>
              </w:rPr>
            </w:r>
          </w:p>
        </w:tc>
        <w:tc>
          <w:tcPr>
            <w:tcW w:w="1231" w:type="dxa"/>
            <w:tcBorders/>
            <w:vAlign w:val="center"/>
          </w:tcPr>
          <w:p>
            <w:pPr>
              <w:pStyle w:val="Normal"/>
              <w:rPr>
                <w:rFonts w:eastAsia="Times New Roman"/>
                <w:sz w:val="20"/>
                <w:szCs w:val="20"/>
              </w:rPr>
            </w:pPr>
            <w:r>
              <w:rPr>
                <w:rFonts w:eastAsia="Times New Roman"/>
                <w:sz w:val="20"/>
                <w:szCs w:val="20"/>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Tax efficient planned giving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1,500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1,011 </w:t>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Collections at services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2,491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2,176 </w:t>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All other giving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974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4,161 </w:t>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Gift aid recovered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4,163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 </w:t>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Statutory fees (retained by PCC)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1,084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 </w:t>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Standing order giving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1,880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 </w:t>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Other church income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1,068 </w:t>
            </w:r>
          </w:p>
        </w:tc>
      </w:tr>
      <w:tr>
        <w:trPr>
          <w:trHeight w:val="15" w:hRule="atLeast"/>
        </w:trPr>
        <w:tc>
          <w:tcPr>
            <w:tcW w:w="571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r>
        <w:trPr/>
        <w:tc>
          <w:tcPr>
            <w:tcW w:w="5711" w:type="dxa"/>
            <w:tcBorders/>
            <w:tcMar>
              <w:top w:w="75" w:type="dxa"/>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12,092 </w:t>
            </w:r>
          </w:p>
        </w:tc>
        <w:tc>
          <w:tcPr>
            <w:tcW w:w="125"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31"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r>
          </w:p>
        </w:tc>
        <w:tc>
          <w:tcPr>
            <w:tcW w:w="1245"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8,416 </w:t>
            </w:r>
          </w:p>
        </w:tc>
      </w:tr>
      <w:tr>
        <w:trPr>
          <w:trHeight w:val="1" w:hRule="exact"/>
        </w:trPr>
        <w:tc>
          <w:tcPr>
            <w:tcW w:w="5711" w:type="dxa"/>
            <w:tcBorders/>
            <w:tcMar>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5" w:type="dxa"/>
            <w:tcBorders/>
            <w:vAlign w:val="center"/>
          </w:tcPr>
          <w:p>
            <w:pPr>
              <w:pStyle w:val="Normal"/>
              <w:rPr>
                <w:rFonts w:eastAsia="Times New Roman"/>
                <w:sz w:val="20"/>
                <w:szCs w:val="20"/>
              </w:rPr>
            </w:pPr>
            <w:r>
              <w:rPr>
                <w:rFonts w:eastAsia="Times New Roman"/>
                <w:sz w:val="20"/>
                <w:szCs w:val="20"/>
              </w:rPr>
            </w:r>
          </w:p>
        </w:tc>
        <w:tc>
          <w:tcPr>
            <w:tcW w:w="1231" w:type="dxa"/>
            <w:tcBorders/>
            <w:vAlign w:val="center"/>
          </w:tcPr>
          <w:p>
            <w:pPr>
              <w:pStyle w:val="Normal"/>
              <w:rPr>
                <w:rFonts w:eastAsia="Times New Roman"/>
                <w:sz w:val="20"/>
                <w:szCs w:val="20"/>
              </w:rPr>
            </w:pPr>
            <w:r>
              <w:rPr>
                <w:rFonts w:eastAsia="Times New Roman"/>
                <w:sz w:val="20"/>
                <w:szCs w:val="20"/>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5711" w:type="dxa"/>
            <w:tcBorders/>
            <w:tcMar>
              <w:left w:w="45" w:type="dxa"/>
              <w:right w:w="45" w:type="dxa"/>
            </w:tcMar>
            <w:vAlign w:val="center"/>
          </w:tcPr>
          <w:p>
            <w:pPr>
              <w:pStyle w:val="Normal"/>
              <w:spacing w:before="150" w:after="0"/>
              <w:rPr>
                <w:rFonts w:ascii="Arial" w:hAnsi="Arial" w:eastAsia="Times New Roman" w:cs="Arial"/>
                <w:b/>
                <w:b/>
                <w:bCs/>
                <w:sz w:val="20"/>
                <w:szCs w:val="20"/>
              </w:rPr>
            </w:pPr>
            <w:r>
              <w:rPr>
                <w:rFonts w:eastAsia="Times New Roman" w:cs="Arial" w:ascii="Arial" w:hAnsi="Arial"/>
                <w:b/>
                <w:bCs/>
                <w:sz w:val="20"/>
                <w:szCs w:val="20"/>
              </w:rPr>
              <w:t>Resources expended</w:t>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5" w:type="dxa"/>
            <w:tcBorders/>
            <w:vAlign w:val="center"/>
          </w:tcPr>
          <w:p>
            <w:pPr>
              <w:pStyle w:val="Normal"/>
              <w:rPr>
                <w:rFonts w:eastAsia="Times New Roman"/>
                <w:sz w:val="20"/>
                <w:szCs w:val="20"/>
              </w:rPr>
            </w:pPr>
            <w:r>
              <w:rPr>
                <w:rFonts w:eastAsia="Times New Roman"/>
                <w:sz w:val="20"/>
                <w:szCs w:val="20"/>
              </w:rPr>
            </w:r>
          </w:p>
        </w:tc>
        <w:tc>
          <w:tcPr>
            <w:tcW w:w="1231" w:type="dxa"/>
            <w:tcBorders/>
            <w:vAlign w:val="center"/>
          </w:tcPr>
          <w:p>
            <w:pPr>
              <w:pStyle w:val="Normal"/>
              <w:rPr>
                <w:rFonts w:eastAsia="Times New Roman"/>
                <w:sz w:val="20"/>
                <w:szCs w:val="20"/>
              </w:rPr>
            </w:pPr>
            <w:r>
              <w:rPr>
                <w:rFonts w:eastAsia="Times New Roman"/>
                <w:sz w:val="20"/>
                <w:szCs w:val="20"/>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Christian aid and children’s society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316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204 </w:t>
            </w:r>
          </w:p>
        </w:tc>
        <w:tc>
          <w:tcPr>
            <w:tcW w:w="124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Diocesan parish share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9,257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8,816 </w:t>
            </w:r>
          </w:p>
        </w:tc>
        <w:tc>
          <w:tcPr>
            <w:tcW w:w="124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Church insurance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1,237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1,135 </w:t>
            </w:r>
          </w:p>
        </w:tc>
        <w:tc>
          <w:tcPr>
            <w:tcW w:w="124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Church running expenses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582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1,266 </w:t>
            </w:r>
          </w:p>
        </w:tc>
        <w:tc>
          <w:tcPr>
            <w:tcW w:w="124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r>
      <w:tr>
        <w:trPr/>
        <w:tc>
          <w:tcPr>
            <w:tcW w:w="571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Church utility bills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376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969 </w:t>
            </w:r>
          </w:p>
        </w:tc>
        <w:tc>
          <w:tcPr>
            <w:tcW w:w="124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r>
      <w:tr>
        <w:trPr/>
        <w:tc>
          <w:tcPr>
            <w:tcW w:w="5711" w:type="dxa"/>
            <w:tcBorders/>
            <w:tcMar>
              <w:left w:w="45" w:type="dxa"/>
              <w:right w:w="45" w:type="dxa"/>
            </w:tcMar>
            <w:vAlign w:val="center"/>
          </w:tcPr>
          <w:p>
            <w:pPr>
              <w:pStyle w:val="Normal"/>
              <w:rPr>
                <w:rFonts w:ascii="Arial" w:hAnsi="Arial" w:cs="Arial"/>
                <w:sz w:val="20"/>
                <w:szCs w:val="20"/>
                <w:highlight w:val="white"/>
              </w:rPr>
            </w:pPr>
            <w:r>
              <w:rPr>
                <w:rFonts w:cs="Arial" w:ascii="Arial" w:hAnsi="Arial"/>
                <w:sz w:val="20"/>
                <w:szCs w:val="20"/>
                <w:highlight w:val="white"/>
              </w:rPr>
              <w:t>Office and benefice admin costs</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1,153 </w:t>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1,568 </w:t>
            </w:r>
          </w:p>
        </w:tc>
        <w:tc>
          <w:tcPr>
            <w:tcW w:w="1245"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r>
      <w:tr>
        <w:trPr>
          <w:trHeight w:val="15" w:hRule="atLeast"/>
        </w:trPr>
        <w:tc>
          <w:tcPr>
            <w:tcW w:w="571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571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12,921 </w:t>
            </w:r>
          </w:p>
        </w:tc>
        <w:tc>
          <w:tcPr>
            <w:tcW w:w="12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1"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13,958 </w:t>
            </w:r>
          </w:p>
        </w:tc>
      </w:tr>
      <w:tr>
        <w:trPr>
          <w:trHeight w:val="15" w:hRule="atLeast"/>
        </w:trPr>
        <w:tc>
          <w:tcPr>
            <w:tcW w:w="571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r>
        <w:trPr/>
        <w:tc>
          <w:tcPr>
            <w:tcW w:w="5711"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t xml:space="preserve">Surplus/ (Deficit) </w:t>
            </w:r>
          </w:p>
        </w:tc>
        <w:tc>
          <w:tcPr>
            <w:tcW w:w="1230"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pPr>
            <w:r>
              <w:rPr>
                <w:rFonts w:eastAsia="Times New Roman" w:cs="Arial" w:ascii="Arial" w:hAnsi="Arial"/>
                <w:b/>
                <w:bCs/>
                <w:sz w:val="20"/>
                <w:szCs w:val="20"/>
              </w:rPr>
              <w:t>(829</w:t>
            </w:r>
            <w:r>
              <w:rPr>
                <w:rStyle w:val="Negativerightbracket"/>
                <w:rFonts w:eastAsia="Times New Roman" w:cs="Arial" w:ascii="Arial" w:hAnsi="Arial"/>
                <w:b/>
                <w:bCs/>
                <w:sz w:val="20"/>
                <w:szCs w:val="20"/>
              </w:rPr>
              <w:t>)</w:t>
            </w:r>
            <w:r>
              <w:rPr>
                <w:rFonts w:eastAsia="Times New Roman" w:cs="Arial" w:ascii="Arial" w:hAnsi="Arial"/>
                <w:b/>
                <w:bCs/>
                <w:sz w:val="20"/>
                <w:szCs w:val="20"/>
              </w:rPr>
              <w:t xml:space="preserve"> </w:t>
            </w:r>
          </w:p>
        </w:tc>
        <w:tc>
          <w:tcPr>
            <w:tcW w:w="125"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31"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r>
          </w:p>
        </w:tc>
        <w:tc>
          <w:tcPr>
            <w:tcW w:w="1245" w:type="dxa"/>
            <w:tcBorders/>
            <w:tcMar>
              <w:top w:w="75" w:type="dxa"/>
              <w:left w:w="45" w:type="dxa"/>
              <w:right w:w="45" w:type="dxa"/>
            </w:tcMar>
            <w:vAlign w:val="center"/>
          </w:tcPr>
          <w:p>
            <w:pPr>
              <w:pStyle w:val="Normal"/>
              <w:jc w:val="right"/>
              <w:rPr/>
            </w:pPr>
            <w:r>
              <w:rPr>
                <w:rFonts w:eastAsia="Times New Roman" w:cs="Arial" w:ascii="Arial" w:hAnsi="Arial"/>
                <w:b/>
                <w:bCs/>
                <w:sz w:val="20"/>
                <w:szCs w:val="20"/>
              </w:rPr>
              <w:t>(5,542</w:t>
            </w:r>
            <w:r>
              <w:rPr>
                <w:rStyle w:val="Negativerightbracket"/>
                <w:rFonts w:eastAsia="Times New Roman" w:cs="Arial" w:ascii="Arial" w:hAnsi="Arial"/>
                <w:b/>
                <w:bCs/>
                <w:sz w:val="20"/>
                <w:szCs w:val="20"/>
              </w:rPr>
              <w:t>)</w:t>
            </w:r>
            <w:r>
              <w:rPr>
                <w:rFonts w:eastAsia="Times New Roman" w:cs="Arial" w:ascii="Arial" w:hAnsi="Arial"/>
                <w:b/>
                <w:bCs/>
                <w:sz w:val="20"/>
                <w:szCs w:val="20"/>
              </w:rPr>
              <w:t xml:space="preserve"> </w:t>
            </w:r>
          </w:p>
        </w:tc>
      </w:tr>
      <w:tr>
        <w:trPr>
          <w:trHeight w:val="15" w:hRule="atLeast"/>
        </w:trPr>
        <w:tc>
          <w:tcPr>
            <w:tcW w:w="571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1"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bl>
    <w:p>
      <w:pPr>
        <w:pStyle w:val="Normal"/>
        <w:jc w:val="center"/>
        <w:rPr>
          <w:rFonts w:ascii="Arial" w:hAnsi="Arial" w:eastAsia="Times New Roman" w:cs="Arial"/>
          <w:sz w:val="2"/>
          <w:szCs w:val="2"/>
        </w:rPr>
      </w:pPr>
      <w:r>
        <w:rPr>
          <w:rFonts w:eastAsia="Times New Roman" w:cs="Arial" w:ascii="Arial" w:hAnsi="Arial"/>
          <w:sz w:val="2"/>
          <w:szCs w:val="2"/>
        </w:rPr>
      </w:r>
      <w:r>
        <w:br w:type="page"/>
      </w:r>
    </w:p>
    <w:p>
      <w:pPr>
        <w:pStyle w:val="Normal"/>
        <w:rPr/>
      </w:pPr>
      <w:r>
        <w:rPr/>
        <mc:AlternateContent>
          <mc:Choice Requires="wps">
            <w:drawing>
              <wp:anchor behindDoc="0" distT="0" distB="3175" distL="0" distR="3175" simplePos="0" locked="0" layoutInCell="1" allowOverlap="1" relativeHeight="8">
                <wp:simplePos x="0" y="0"/>
                <wp:positionH relativeFrom="column">
                  <wp:posOffset>0</wp:posOffset>
                </wp:positionH>
                <wp:positionV relativeFrom="paragraph">
                  <wp:posOffset>635</wp:posOffset>
                </wp:positionV>
                <wp:extent cx="635635" cy="635635"/>
                <wp:effectExtent l="0" t="0" r="0" b="0"/>
                <wp:wrapNone/>
                <wp:docPr id="15" name="AutoShape 7"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w:r>
    </w:p>
    <w:p>
      <w:pPr>
        <w:pStyle w:val="Normal"/>
        <w:jc w:val="center"/>
        <w:rPr>
          <w:rFonts w:ascii="Arial" w:hAnsi="Arial" w:eastAsia="Times New Roman" w:cs="Arial"/>
          <w:sz w:val="2"/>
          <w:szCs w:val="2"/>
        </w:rPr>
      </w:pPr>
      <w:r>
        <w:rPr>
          <w:rFonts w:eastAsia="Times New Roman" w:cs="Arial" w:ascii="Arial" w:hAnsi="Arial"/>
          <w:sz w:val="2"/>
          <w:szCs w:val="2"/>
        </w:rPr>
        <mc:AlternateContent>
          <mc:Choice Requires="wps">
            <w:drawing>
              <wp:anchor behindDoc="0" distT="0" distB="0" distL="635" distR="0" simplePos="0" locked="0" layoutInCell="1" allowOverlap="1" relativeHeight="18">
                <wp:simplePos x="0" y="0"/>
                <wp:positionH relativeFrom="column">
                  <wp:posOffset>1619885</wp:posOffset>
                </wp:positionH>
                <wp:positionV relativeFrom="paragraph">
                  <wp:posOffset>8820150</wp:posOffset>
                </wp:positionV>
                <wp:extent cx="3600450" cy="1260475"/>
                <wp:effectExtent l="0" t="0" r="0" b="0"/>
                <wp:wrapNone/>
                <wp:docPr id="16" name="_p8"/>
                <a:graphic xmlns:a="http://schemas.openxmlformats.org/drawingml/2006/main">
                  <a:graphicData uri="http://schemas.microsoft.com/office/word/2010/wordprocessingShape">
                    <wps:wsp>
                      <wps:cNvSpPr/>
                      <wps:spPr>
                        <a:xfrm>
                          <a:off x="0" y="0"/>
                          <a:ext cx="3599640" cy="1260000"/>
                        </a:xfrm>
                        <a:prstGeom prst="rect">
                          <a:avLst/>
                        </a:prstGeom>
                        <a:noFill/>
                        <a:ln w="9360">
                          <a:solidFill>
                            <a:srgbClr val="000000"/>
                          </a:solidFill>
                          <a:round/>
                        </a:ln>
                      </wps:spPr>
                      <wps:style>
                        <a:lnRef idx="0"/>
                        <a:fillRef idx="0"/>
                        <a:effectRef idx="0"/>
                        <a:fontRef idx="minor"/>
                      </wps:style>
                      <wps:txbx>
                        <w:txbxContent>
                          <w:p>
                            <w:pPr>
                              <w:pStyle w:val="FrameContents"/>
                              <w:jc w:val="center"/>
                              <w:rPr/>
                            </w:pPr>
                            <w:r>
                              <w:rPr>
                                <w:rFonts w:eastAsia="Times New Roman"/>
                                <w:sz w:val="20"/>
                                <w:szCs w:val="20"/>
                              </w:rPr>
                              <w:t xml:space="preserve">Page 3 </w:t>
                            </w:r>
                          </w:p>
                        </w:txbxContent>
                      </wps:txbx>
                      <wps:bodyPr anchor="b">
                        <a:noAutofit/>
                      </wps:bodyPr>
                    </wps:wsp>
                  </a:graphicData>
                </a:graphic>
              </wp:anchor>
            </w:drawing>
          </mc:Choice>
          <mc:Fallback>
            <w:pict/>
          </mc:Fallback>
        </mc:AlternateContent>
      </w:r>
    </w:p>
    <w:p>
      <w:pPr>
        <w:pStyle w:val="Normal"/>
        <w:jc w:val="center"/>
        <w:rPr>
          <w:rFonts w:ascii="Arial" w:hAnsi="Arial" w:eastAsia="Times New Roman" w:cs="Arial"/>
          <w:b/>
          <w:b/>
          <w:bCs/>
          <w:sz w:val="20"/>
          <w:szCs w:val="20"/>
        </w:rPr>
      </w:pPr>
      <w:r>
        <w:rPr>
          <w:rFonts w:eastAsia="Times New Roman" w:cs="Arial" w:ascii="Arial" w:hAnsi="Arial"/>
          <w:b/>
          <w:bCs/>
          <w:sz w:val="20"/>
          <w:szCs w:val="20"/>
        </w:rPr>
        <w:t>All Saints Church, Grinshill</w:t>
      </w:r>
    </w:p>
    <w:p>
      <w:pPr>
        <w:pStyle w:val="Normal"/>
        <w:jc w:val="center"/>
        <w:rPr>
          <w:rFonts w:ascii="Arial" w:hAnsi="Arial" w:eastAsia="Times New Roman" w:cs="Arial"/>
          <w:b/>
          <w:b/>
          <w:bCs/>
          <w:sz w:val="20"/>
          <w:szCs w:val="20"/>
        </w:rPr>
      </w:pPr>
      <w:r>
        <w:rPr>
          <w:rFonts w:eastAsia="Times New Roman" w:cs="Arial" w:ascii="Arial" w:hAnsi="Arial"/>
          <w:b/>
          <w:bCs/>
          <w:sz w:val="20"/>
          <w:szCs w:val="20"/>
        </w:rPr>
        <w:t>Balance Sheet</w:t>
      </w:r>
    </w:p>
    <w:p>
      <w:pPr>
        <w:pStyle w:val="Normal"/>
        <w:jc w:val="center"/>
        <w:rPr>
          <w:rFonts w:ascii="Arial" w:hAnsi="Arial" w:eastAsia="Times New Roman" w:cs="Arial"/>
          <w:b/>
          <w:b/>
          <w:bCs/>
          <w:sz w:val="20"/>
          <w:szCs w:val="20"/>
        </w:rPr>
      </w:pPr>
      <w:r>
        <w:rPr>
          <w:rFonts w:eastAsia="Times New Roman" w:cs="Arial" w:ascii="Arial" w:hAnsi="Arial"/>
          <w:b/>
          <w:bCs/>
          <w:sz w:val="20"/>
          <w:szCs w:val="20"/>
        </w:rPr>
        <w:t xml:space="preserve">As at 31 December 2019 </w:t>
      </w:r>
    </w:p>
    <w:tbl>
      <w:tblPr>
        <w:tblW w:w="5000" w:type="pct"/>
        <w:jc w:val="left"/>
        <w:tblInd w:w="45" w:type="dxa"/>
        <w:tblCellMar>
          <w:top w:w="15" w:type="dxa"/>
          <w:left w:w="45" w:type="dxa"/>
          <w:bottom w:w="150" w:type="dxa"/>
          <w:right w:w="45" w:type="dxa"/>
        </w:tblCellMar>
      </w:tblPr>
      <w:tblGrid>
        <w:gridCol w:w="10772"/>
      </w:tblGrid>
      <w:tr>
        <w:trPr>
          <w:trHeight w:val="1" w:hRule="exact"/>
        </w:trPr>
        <w:tc>
          <w:tcPr>
            <w:tcW w:w="10772" w:type="dxa"/>
            <w:tcBorders>
              <w:top w:val="single" w:sz="6" w:space="0" w:color="000000"/>
            </w:tcBorders>
            <w:vAlign w:val="center"/>
          </w:tcPr>
          <w:p>
            <w:pPr>
              <w:pStyle w:val="Normal"/>
              <w:rPr>
                <w:rFonts w:ascii="Arial" w:hAnsi="Arial" w:eastAsia="Times New Roman" w:cs="Arial"/>
                <w:sz w:val="20"/>
                <w:szCs w:val="20"/>
              </w:rPr>
            </w:pPr>
            <w:r>
              <w:rPr>
                <w:rFonts w:eastAsia="Times New Roman" w:cs="Arial" w:ascii="Arial" w:hAnsi="Arial"/>
                <w:sz w:val="20"/>
                <w:szCs w:val="20"/>
              </w:rPr>
            </w:r>
          </w:p>
        </w:tc>
      </w:tr>
    </w:tbl>
    <w:p>
      <w:pPr>
        <w:pStyle w:val="Normal"/>
        <w:rPr>
          <w:rFonts w:ascii="Arial" w:hAnsi="Arial" w:eastAsia="Times New Roman" w:cs="Arial"/>
          <w:vanish/>
          <w:sz w:val="20"/>
          <w:szCs w:val="20"/>
        </w:rPr>
      </w:pPr>
      <w:r>
        <w:rPr>
          <w:rFonts w:eastAsia="Times New Roman" w:cs="Arial" w:ascii="Arial" w:hAnsi="Arial"/>
          <w:vanish/>
          <w:sz w:val="20"/>
          <w:szCs w:val="20"/>
        </w:rPr>
        <w:t>Balance Sheet</w:t>
      </w:r>
    </w:p>
    <w:tbl>
      <w:tblPr>
        <w:tblW w:w="5000" w:type="pct"/>
        <w:jc w:val="left"/>
        <w:tblInd w:w="15" w:type="dxa"/>
        <w:tblCellMar>
          <w:top w:w="15" w:type="dxa"/>
          <w:left w:w="15" w:type="dxa"/>
          <w:bottom w:w="15" w:type="dxa"/>
          <w:right w:w="15" w:type="dxa"/>
        </w:tblCellMar>
      </w:tblPr>
      <w:tblGrid>
        <w:gridCol w:w="4607"/>
        <w:gridCol w:w="1230"/>
        <w:gridCol w:w="1230"/>
        <w:gridCol w:w="1230"/>
        <w:gridCol w:w="1230"/>
        <w:gridCol w:w="1245"/>
      </w:tblGrid>
      <w:tr>
        <w:trPr/>
        <w:tc>
          <w:tcPr>
            <w:tcW w:w="5837" w:type="dxa"/>
            <w:gridSpan w:val="2"/>
            <w:tcBorders/>
            <w:vAlign w:val="center"/>
          </w:tcPr>
          <w:p>
            <w:pPr>
              <w:pStyle w:val="Normal"/>
              <w:rPr>
                <w:rFonts w:ascii="Arial" w:hAnsi="Arial" w:eastAsia="Times New Roman" w:cs="Arial"/>
                <w:vanish/>
                <w:sz w:val="20"/>
                <w:szCs w:val="20"/>
              </w:rPr>
            </w:pPr>
            <w:r>
              <w:rPr>
                <w:rFonts w:eastAsia="Times New Roman" w:cs="Arial" w:ascii="Arial" w:hAnsi="Arial"/>
                <w:vanish/>
                <w:sz w:val="20"/>
                <w:szCs w:val="20"/>
              </w:rPr>
            </w:r>
            <w:bookmarkStart w:id="6" w:name="p_balance_sheet"/>
            <w:bookmarkStart w:id="7" w:name="p_balance_sheet"/>
            <w:bookmarkEnd w:id="7"/>
          </w:p>
        </w:tc>
        <w:tc>
          <w:tcPr>
            <w:tcW w:w="2460" w:type="dxa"/>
            <w:gridSpan w:val="2"/>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2019</w:t>
            </w:r>
          </w:p>
        </w:tc>
        <w:tc>
          <w:tcPr>
            <w:tcW w:w="2475" w:type="dxa"/>
            <w:gridSpan w:val="2"/>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2018</w:t>
            </w:r>
          </w:p>
        </w:tc>
      </w:tr>
      <w:tr>
        <w:trPr/>
        <w:tc>
          <w:tcPr>
            <w:tcW w:w="4607"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Notes</w:t>
            </w:r>
          </w:p>
        </w:tc>
        <w:tc>
          <w:tcPr>
            <w:tcW w:w="1230"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c>
          <w:tcPr>
            <w:tcW w:w="1230"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c>
          <w:tcPr>
            <w:tcW w:w="1230"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c>
          <w:tcPr>
            <w:tcW w:w="1245" w:type="dxa"/>
            <w:tcBorders/>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w:t>
            </w:r>
          </w:p>
        </w:tc>
      </w:tr>
      <w:tr>
        <w:trPr/>
        <w:tc>
          <w:tcPr>
            <w:tcW w:w="4607" w:type="dxa"/>
            <w:tcBorders/>
            <w:tcMar>
              <w:left w:w="45" w:type="dxa"/>
              <w:right w:w="45" w:type="dxa"/>
            </w:tcMar>
            <w:vAlign w:val="center"/>
          </w:tcPr>
          <w:p>
            <w:pPr>
              <w:pStyle w:val="Normal"/>
              <w:spacing w:before="150" w:after="0"/>
              <w:rPr>
                <w:rFonts w:ascii="Arial" w:hAnsi="Arial" w:eastAsia="Times New Roman" w:cs="Arial"/>
                <w:b/>
                <w:b/>
                <w:bCs/>
                <w:sz w:val="20"/>
                <w:szCs w:val="20"/>
              </w:rPr>
            </w:pPr>
            <w:r>
              <w:rPr>
                <w:rFonts w:eastAsia="Times New Roman" w:cs="Arial" w:ascii="Arial" w:hAnsi="Arial"/>
                <w:b/>
                <w:bCs/>
                <w:sz w:val="20"/>
                <w:szCs w:val="20"/>
              </w:rPr>
              <w:t xml:space="preserve">CURRENT ASSETS </w:t>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4607"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Trade debtors </w:t>
            </w:r>
          </w:p>
        </w:tc>
        <w:tc>
          <w:tcPr>
            <w:tcW w:w="1230" w:type="dxa"/>
            <w:tcBorders/>
            <w:tcMar>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2,763 </w:t>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r>
      <w:tr>
        <w:trPr/>
        <w:tc>
          <w:tcPr>
            <w:tcW w:w="4607"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Cash at bank and in hand </w:t>
            </w:r>
          </w:p>
        </w:tc>
        <w:tc>
          <w:tcPr>
            <w:tcW w:w="1230" w:type="dxa"/>
            <w:tcBorders/>
            <w:tcMar>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bottom w:val="single" w:sz="4" w:space="0" w:color="000000"/>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13,028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13,903 </w:t>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r>
      <w:tr>
        <w:trPr>
          <w:trHeight w:val="15" w:hRule="atLeast"/>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13,028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16,666 </w:t>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r>
      <w:tr>
        <w:trPr/>
        <w:tc>
          <w:tcPr>
            <w:tcW w:w="4607" w:type="dxa"/>
            <w:tcBorders/>
            <w:tcMar>
              <w:left w:w="45" w:type="dxa"/>
              <w:right w:w="45" w:type="dxa"/>
            </w:tcMar>
            <w:vAlign w:val="center"/>
          </w:tcPr>
          <w:p>
            <w:pPr>
              <w:pStyle w:val="Normal"/>
              <w:spacing w:before="150" w:after="0"/>
              <w:rPr>
                <w:rFonts w:ascii="Arial" w:hAnsi="Arial" w:eastAsia="Times New Roman" w:cs="Arial"/>
                <w:b/>
                <w:b/>
                <w:bCs/>
                <w:sz w:val="20"/>
                <w:szCs w:val="20"/>
              </w:rPr>
            </w:pPr>
            <w:r>
              <w:rPr>
                <w:rFonts w:eastAsia="Times New Roman" w:cs="Arial" w:ascii="Arial" w:hAnsi="Arial"/>
                <w:b/>
                <w:bCs/>
                <w:sz w:val="20"/>
                <w:szCs w:val="20"/>
              </w:rPr>
              <w:t xml:space="preserve">CURRENT LIABILITIES </w:t>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4607"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Trade creditors </w:t>
            </w:r>
          </w:p>
        </w:tc>
        <w:tc>
          <w:tcPr>
            <w:tcW w:w="1230" w:type="dxa"/>
            <w:tcBorders/>
            <w:tcMar>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2,809 </w:t>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r>
      <w:tr>
        <w:trPr>
          <w:trHeight w:val="15" w:hRule="atLeast"/>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4607"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t xml:space="preserve">NET CURRENT ASSETS </w:t>
            </w:r>
          </w:p>
        </w:tc>
        <w:tc>
          <w:tcPr>
            <w:tcW w:w="1230" w:type="dxa"/>
            <w:tcBorders/>
            <w:tcMar>
              <w:top w:w="75" w:type="dxa"/>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13,028 </w:t>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45"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13,857 </w:t>
            </w:r>
          </w:p>
        </w:tc>
      </w:tr>
      <w:tr>
        <w:trPr>
          <w:trHeight w:val="15" w:hRule="atLeast"/>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r>
        <w:trPr/>
        <w:tc>
          <w:tcPr>
            <w:tcW w:w="4607"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t xml:space="preserve">TOTAL ASSETS LESS CURRENT LIABILITIES </w:t>
            </w:r>
          </w:p>
        </w:tc>
        <w:tc>
          <w:tcPr>
            <w:tcW w:w="1230" w:type="dxa"/>
            <w:tcBorders/>
            <w:tcMar>
              <w:top w:w="75" w:type="dxa"/>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13,028 </w:t>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45"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13,857 </w:t>
            </w:r>
          </w:p>
        </w:tc>
      </w:tr>
      <w:tr>
        <w:trPr>
          <w:trHeight w:val="15" w:hRule="atLeast"/>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r>
        <w:trPr/>
        <w:tc>
          <w:tcPr>
            <w:tcW w:w="4607"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t xml:space="preserve">NET ASSETS </w:t>
            </w:r>
          </w:p>
        </w:tc>
        <w:tc>
          <w:tcPr>
            <w:tcW w:w="1230" w:type="dxa"/>
            <w:tcBorders/>
            <w:tcMar>
              <w:top w:w="75" w:type="dxa"/>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13,028 </w:t>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45"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13,857 </w:t>
            </w:r>
          </w:p>
        </w:tc>
      </w:tr>
      <w:tr>
        <w:trPr>
          <w:trHeight w:val="15" w:hRule="atLeast"/>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r>
        <w:trPr/>
        <w:tc>
          <w:tcPr>
            <w:tcW w:w="4607" w:type="dxa"/>
            <w:tcBorders/>
            <w:tcMar>
              <w:left w:w="45" w:type="dxa"/>
              <w:right w:w="45" w:type="dxa"/>
            </w:tcMar>
            <w:vAlign w:val="center"/>
          </w:tcPr>
          <w:p>
            <w:pPr>
              <w:pStyle w:val="Normal"/>
              <w:spacing w:before="150" w:after="0"/>
              <w:rPr>
                <w:rFonts w:ascii="Arial" w:hAnsi="Arial" w:eastAsia="Times New Roman" w:cs="Arial"/>
                <w:b/>
                <w:b/>
                <w:bCs/>
                <w:sz w:val="20"/>
                <w:szCs w:val="20"/>
              </w:rPr>
            </w:pPr>
            <w:r>
              <w:rPr>
                <w:rFonts w:eastAsia="Times New Roman" w:cs="Arial" w:ascii="Arial" w:hAnsi="Arial"/>
                <w:b/>
                <w:bCs/>
                <w:sz w:val="20"/>
                <w:szCs w:val="20"/>
              </w:rPr>
              <w:t xml:space="preserve">CAPITAL AND RESERVES </w:t>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30" w:type="dxa"/>
            <w:tcBorders/>
            <w:vAlign w:val="center"/>
          </w:tcPr>
          <w:p>
            <w:pPr>
              <w:pStyle w:val="Normal"/>
              <w:rPr>
                <w:rFonts w:eastAsia="Times New Roman"/>
                <w:sz w:val="20"/>
                <w:szCs w:val="20"/>
              </w:rPr>
            </w:pPr>
            <w:r>
              <w:rPr>
                <w:rFonts w:eastAsia="Times New Roman"/>
                <w:sz w:val="20"/>
                <w:szCs w:val="20"/>
              </w:rPr>
            </w:r>
          </w:p>
        </w:tc>
        <w:tc>
          <w:tcPr>
            <w:tcW w:w="1245" w:type="dxa"/>
            <w:tcBorders/>
            <w:vAlign w:val="center"/>
          </w:tcPr>
          <w:p>
            <w:pPr>
              <w:pStyle w:val="Normal"/>
              <w:rPr>
                <w:rFonts w:eastAsia="Times New Roman"/>
                <w:sz w:val="20"/>
                <w:szCs w:val="20"/>
              </w:rPr>
            </w:pPr>
            <w:r>
              <w:rPr>
                <w:rFonts w:eastAsia="Times New Roman"/>
                <w:sz w:val="20"/>
                <w:szCs w:val="20"/>
              </w:rPr>
            </w:r>
          </w:p>
        </w:tc>
      </w:tr>
      <w:tr>
        <w:trPr/>
        <w:tc>
          <w:tcPr>
            <w:tcW w:w="4607"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Balance at 1 January 2019 </w:t>
            </w:r>
          </w:p>
        </w:tc>
        <w:tc>
          <w:tcPr>
            <w:tcW w:w="1230" w:type="dxa"/>
            <w:tcBorders/>
            <w:tcMar>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13,857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t xml:space="preserve">19,399 </w:t>
            </w:r>
          </w:p>
        </w:tc>
      </w:tr>
      <w:tr>
        <w:trPr/>
        <w:tc>
          <w:tcPr>
            <w:tcW w:w="4607" w:type="dxa"/>
            <w:tcBorders/>
            <w:tcMar>
              <w:left w:w="45" w:type="dxa"/>
              <w:right w:w="45" w:type="dxa"/>
            </w:tcMar>
            <w:vAlign w:val="center"/>
          </w:tcPr>
          <w:p>
            <w:pPr>
              <w:pStyle w:val="Normal"/>
              <w:rPr>
                <w:rFonts w:ascii="Arial" w:hAnsi="Arial" w:eastAsia="Times New Roman" w:cs="Arial"/>
                <w:sz w:val="20"/>
                <w:szCs w:val="20"/>
              </w:rPr>
            </w:pPr>
            <w:r>
              <w:rPr>
                <w:rFonts w:eastAsia="Times New Roman" w:cs="Arial" w:ascii="Arial" w:hAnsi="Arial"/>
                <w:sz w:val="20"/>
                <w:szCs w:val="20"/>
              </w:rPr>
              <w:t xml:space="preserve">Surplus/(Deficit) for the year </w:t>
            </w:r>
          </w:p>
        </w:tc>
        <w:tc>
          <w:tcPr>
            <w:tcW w:w="1230" w:type="dxa"/>
            <w:tcBorders/>
            <w:tcMar>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30" w:type="dxa"/>
            <w:tcBorders/>
            <w:tcMar>
              <w:left w:w="45" w:type="dxa"/>
              <w:right w:w="45" w:type="dxa"/>
            </w:tcMar>
            <w:vAlign w:val="center"/>
          </w:tcPr>
          <w:p>
            <w:pPr>
              <w:pStyle w:val="Normal"/>
              <w:jc w:val="right"/>
              <w:rPr/>
            </w:pPr>
            <w:r>
              <w:rPr>
                <w:rFonts w:eastAsia="Times New Roman" w:cs="Arial" w:ascii="Arial" w:hAnsi="Arial"/>
                <w:sz w:val="20"/>
                <w:szCs w:val="20"/>
              </w:rPr>
              <w:t>(829</w:t>
            </w:r>
            <w:r>
              <w:rPr>
                <w:rStyle w:val="Negativerightbracket"/>
                <w:rFonts w:eastAsia="Times New Roman" w:cs="Arial" w:ascii="Arial" w:hAnsi="Arial"/>
                <w:sz w:val="20"/>
                <w:szCs w:val="20"/>
              </w:rPr>
              <w:t>)</w:t>
            </w:r>
            <w:r>
              <w:rPr>
                <w:rFonts w:eastAsia="Times New Roman" w:cs="Arial" w:ascii="Arial" w:hAnsi="Arial"/>
                <w:sz w:val="20"/>
                <w:szCs w:val="20"/>
              </w:rPr>
              <w:t xml:space="preserve"> </w:t>
            </w:r>
          </w:p>
        </w:tc>
        <w:tc>
          <w:tcPr>
            <w:tcW w:w="1230" w:type="dxa"/>
            <w:tcBorders/>
            <w:tcMar>
              <w:left w:w="45" w:type="dxa"/>
              <w:right w:w="45" w:type="dxa"/>
            </w:tcMar>
            <w:vAlign w:val="center"/>
          </w:tcPr>
          <w:p>
            <w:pPr>
              <w:pStyle w:val="Normal"/>
              <w:jc w:val="right"/>
              <w:rPr>
                <w:rFonts w:ascii="Arial" w:hAnsi="Arial" w:eastAsia="Times New Roman" w:cs="Arial"/>
                <w:sz w:val="20"/>
                <w:szCs w:val="20"/>
              </w:rPr>
            </w:pPr>
            <w:r>
              <w:rPr>
                <w:rFonts w:eastAsia="Times New Roman" w:cs="Arial" w:ascii="Arial" w:hAnsi="Arial"/>
                <w:sz w:val="20"/>
                <w:szCs w:val="20"/>
              </w:rPr>
            </w:r>
          </w:p>
        </w:tc>
        <w:tc>
          <w:tcPr>
            <w:tcW w:w="1245" w:type="dxa"/>
            <w:tcBorders/>
            <w:tcMar>
              <w:left w:w="45" w:type="dxa"/>
              <w:right w:w="45" w:type="dxa"/>
            </w:tcMar>
            <w:vAlign w:val="center"/>
          </w:tcPr>
          <w:p>
            <w:pPr>
              <w:pStyle w:val="Normal"/>
              <w:jc w:val="right"/>
              <w:rPr/>
            </w:pPr>
            <w:r>
              <w:rPr>
                <w:rFonts w:eastAsia="Times New Roman" w:cs="Arial" w:ascii="Arial" w:hAnsi="Arial"/>
                <w:sz w:val="20"/>
                <w:szCs w:val="20"/>
              </w:rPr>
              <w:t>(5,542</w:t>
            </w:r>
            <w:r>
              <w:rPr>
                <w:rStyle w:val="Negativerightbracket"/>
                <w:rFonts w:eastAsia="Times New Roman" w:cs="Arial" w:ascii="Arial" w:hAnsi="Arial"/>
                <w:sz w:val="20"/>
                <w:szCs w:val="20"/>
              </w:rPr>
              <w:t>)</w:t>
            </w:r>
            <w:r>
              <w:rPr>
                <w:rFonts w:eastAsia="Times New Roman" w:cs="Arial" w:ascii="Arial" w:hAnsi="Arial"/>
                <w:sz w:val="20"/>
                <w:szCs w:val="20"/>
              </w:rPr>
              <w:t xml:space="preserve"> </w:t>
            </w:r>
          </w:p>
        </w:tc>
      </w:tr>
      <w:tr>
        <w:trPr>
          <w:trHeight w:val="15" w:hRule="atLeast"/>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r>
        <w:trPr/>
        <w:tc>
          <w:tcPr>
            <w:tcW w:w="4607" w:type="dxa"/>
            <w:tcBorders/>
            <w:tcMar>
              <w:top w:w="75" w:type="dxa"/>
              <w:left w:w="45" w:type="dxa"/>
              <w:right w:w="45" w:type="dxa"/>
            </w:tcMar>
            <w:vAlign w:val="center"/>
          </w:tcPr>
          <w:p>
            <w:pPr>
              <w:pStyle w:val="Normal"/>
              <w:rPr>
                <w:rFonts w:ascii="Arial" w:hAnsi="Arial" w:eastAsia="Times New Roman" w:cs="Arial"/>
                <w:b/>
                <w:b/>
                <w:bCs/>
                <w:sz w:val="20"/>
                <w:szCs w:val="20"/>
              </w:rPr>
            </w:pPr>
            <w:r>
              <w:rPr>
                <w:rFonts w:eastAsia="Times New Roman" w:cs="Arial" w:ascii="Arial" w:hAnsi="Arial"/>
                <w:b/>
                <w:bCs/>
                <w:sz w:val="20"/>
                <w:szCs w:val="20"/>
              </w:rPr>
              <w:t xml:space="preserve">Balance Carried Forward </w:t>
            </w:r>
          </w:p>
        </w:tc>
        <w:tc>
          <w:tcPr>
            <w:tcW w:w="1230" w:type="dxa"/>
            <w:tcBorders/>
            <w:tcMar>
              <w:top w:w="75" w:type="dxa"/>
              <w:left w:w="45" w:type="dxa"/>
              <w:right w:w="45" w:type="dxa"/>
            </w:tcMar>
            <w:vAlign w:val="center"/>
          </w:tcPr>
          <w:p>
            <w:pPr>
              <w:pStyle w:val="Normal"/>
              <w:jc w:val="center"/>
              <w:rPr>
                <w:rFonts w:ascii="Arial" w:hAnsi="Arial" w:eastAsia="Times New Roman" w:cs="Arial"/>
                <w:b/>
                <w:b/>
                <w:bCs/>
                <w:sz w:val="20"/>
                <w:szCs w:val="20"/>
              </w:rPr>
            </w:pPr>
            <w:r>
              <w:rPr>
                <w:rFonts w:eastAsia="Times New Roman" w:cs="Arial" w:ascii="Arial" w:hAnsi="Arial"/>
                <w:b/>
                <w:bCs/>
                <w:sz w:val="20"/>
                <w:szCs w:val="20"/>
              </w:rPr>
              <w:t>2</w:t>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13,028 </w:t>
            </w:r>
          </w:p>
        </w:tc>
        <w:tc>
          <w:tcPr>
            <w:tcW w:w="1230"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r>
          </w:p>
        </w:tc>
        <w:tc>
          <w:tcPr>
            <w:tcW w:w="1245" w:type="dxa"/>
            <w:tcBorders/>
            <w:tcMar>
              <w:top w:w="75" w:type="dxa"/>
              <w:left w:w="45" w:type="dxa"/>
              <w:right w:w="45" w:type="dxa"/>
            </w:tcMar>
            <w:vAlign w:val="center"/>
          </w:tcPr>
          <w:p>
            <w:pPr>
              <w:pStyle w:val="Normal"/>
              <w:jc w:val="right"/>
              <w:rPr>
                <w:rFonts w:ascii="Arial" w:hAnsi="Arial" w:eastAsia="Times New Roman" w:cs="Arial"/>
                <w:b/>
                <w:b/>
                <w:bCs/>
                <w:sz w:val="20"/>
                <w:szCs w:val="20"/>
              </w:rPr>
            </w:pPr>
            <w:r>
              <w:rPr>
                <w:rFonts w:eastAsia="Times New Roman" w:cs="Arial" w:ascii="Arial" w:hAnsi="Arial"/>
                <w:b/>
                <w:bCs/>
                <w:sz w:val="20"/>
                <w:szCs w:val="20"/>
              </w:rPr>
              <w:t xml:space="preserve">13,857 </w:t>
            </w:r>
          </w:p>
        </w:tc>
      </w:tr>
      <w:tr>
        <w:trPr>
          <w:trHeight w:val="15" w:hRule="atLeast"/>
        </w:trPr>
        <w:tc>
          <w:tcPr>
            <w:tcW w:w="4607"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c>
          <w:tcPr>
            <w:tcW w:w="1230"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tc>
        <w:tc>
          <w:tcPr>
            <w:tcW w:w="1245" w:type="dxa"/>
            <w:tcBorders/>
            <w:tcMar>
              <w:left w:w="45" w:type="dxa"/>
              <w:right w:w="45" w:type="dxa"/>
            </w:tcMar>
            <w:vAlign w:val="center"/>
          </w:tcPr>
          <w:p>
            <w:pPr>
              <w:pStyle w:val="Normal"/>
              <w:rPr>
                <w:rFonts w:ascii="Arial" w:hAnsi="Arial" w:eastAsia="Times New Roman" w:cs="Arial"/>
                <w:sz w:val="2"/>
                <w:szCs w:val="2"/>
              </w:rPr>
            </w:pPr>
            <w:r>
              <w:rPr>
                <w:rFonts w:eastAsia="Times New Roman" w:cs="Arial" w:ascii="Arial" w:hAnsi="Arial"/>
                <w:sz w:val="2"/>
                <w:szCs w:val="2"/>
              </w:rPr>
            </w:r>
          </w:p>
          <w:p>
            <w:pPr>
              <w:pStyle w:val="Normal"/>
              <w:rPr>
                <w:rFonts w:ascii="Arial" w:hAnsi="Arial" w:eastAsia="Times New Roman" w:cs="Arial"/>
                <w:sz w:val="2"/>
                <w:szCs w:val="2"/>
              </w:rPr>
            </w:pPr>
            <w:r>
              <w:rPr>
                <w:rFonts w:eastAsia="Times New Roman" w:cs="Arial" w:ascii="Arial" w:hAnsi="Arial"/>
                <w:sz w:val="2"/>
                <w:szCs w:val="2"/>
              </w:rPr>
            </w:r>
          </w:p>
        </w:tc>
      </w:tr>
    </w:tbl>
    <w:p>
      <w:pPr>
        <w:pStyle w:val="Normal"/>
        <w:jc w:val="center"/>
        <w:rPr/>
      </w:pPr>
      <w:r>
        <w:rPr/>
        <mc:AlternateContent>
          <mc:Choice Requires="wps">
            <w:drawing>
              <wp:anchor behindDoc="0" distT="0" distB="3175" distL="0" distR="3175" simplePos="0" locked="0" layoutInCell="1" allowOverlap="1" relativeHeight="9">
                <wp:simplePos x="0" y="0"/>
                <wp:positionH relativeFrom="column">
                  <wp:posOffset>0</wp:posOffset>
                </wp:positionH>
                <wp:positionV relativeFrom="paragraph">
                  <wp:posOffset>635</wp:posOffset>
                </wp:positionV>
                <wp:extent cx="635635" cy="635635"/>
                <wp:effectExtent l="0" t="0" r="0" b="0"/>
                <wp:wrapNone/>
                <wp:docPr id="18" name="AutoShape 5" hidden="1"/>
                <a:graphic xmlns:a="http://schemas.openxmlformats.org/drawingml/2006/main">
                  <a:graphicData uri="http://schemas.microsoft.com/office/word/2010/wordprocessingShape">
                    <wps:wsp>
                      <wps:cNvSpPr/>
                      <wps:spPr>
                        <a:xfrm>
                          <a:off x="0" y="0"/>
                          <a:ext cx="635040" cy="635040"/>
                        </a:xfrm>
                        <a:prstGeom prst="rect">
                          <a:avLst/>
                        </a:prstGeom>
                        <a:solidFill>
                          <a:srgbClr val="ffffff"/>
                        </a:solidFill>
                        <a:ln w="9360">
                          <a:solidFill>
                            <a:srgbClr val="000000"/>
                          </a:solidFill>
                          <a:round/>
                        </a:ln>
                      </wps:spPr>
                      <wps:style>
                        <a:lnRef idx="0"/>
                        <a:fillRef idx="0"/>
                        <a:effectRef idx="0"/>
                        <a:fontRef idx="minor"/>
                      </wps:style>
                      <wps:bodyPr/>
                    </wps:wsp>
                  </a:graphicData>
                </a:graphic>
              </wp:anchor>
            </w:drawing>
          </mc:Choice>
          <mc:Fallback>
            <w:pict/>
          </mc:Fallback>
        </mc:AlternateContent>
      </w:r>
    </w:p>
    <w:sectPr>
      <w:type w:val="nextPage"/>
      <w:pgSz w:w="11906" w:h="16838"/>
      <w:pgMar w:left="567" w:right="567" w:header="0" w:top="567"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Light">
    <w:charset w:val="00"/>
    <w:family w:val="roman"/>
    <w:pitch w:val="variable"/>
  </w:font>
  <w:font w:name="Liberation Sans">
    <w:altName w:val="Arial"/>
    <w:charset w:val="00"/>
    <w:family w:val="swiss"/>
    <w:pitch w:val="variable"/>
  </w:font>
  <w:font w:name="Arial">
    <w:charset w:val="00"/>
    <w:family w:val="roman"/>
    <w:pitch w:val="variable"/>
  </w:font>
  <w:font w:name="Calibri">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tabs>
          <w:tab w:val="num" w:pos="518"/>
        </w:tabs>
        <w:ind w:left="518" w:hanging="518"/>
      </w:pPr>
      <w:rPr>
        <w:rFonts w:ascii="Symbol" w:hAnsi="Symbol" w:cs="Symbol" w:hint="default"/>
        <w:sz w:val="22"/>
        <w:i w:val="false"/>
        <w:b w:val="fals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518"/>
        </w:tabs>
        <w:ind w:left="518" w:hanging="518"/>
      </w:pPr>
      <w:rPr>
        <w:rFonts w:ascii="Symbol" w:hAnsi="Symbol" w:cs="Symbol" w:hint="default"/>
        <w:sz w:val="22"/>
        <w:i w:val="false"/>
        <w:b w:val="false"/>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left"/>
    </w:pPr>
    <w:rPr>
      <w:rFonts w:eastAsia="Times New Roman" w:ascii="Times New Roman" w:hAnsi="Times New Roman" w:cs="Times New Roman"/>
      <w:color w:val="auto"/>
      <w:kern w:val="0"/>
      <w:sz w:val="24"/>
      <w:szCs w:val="24"/>
      <w:lang w:val="en-GB" w:eastAsia="en-GB" w:bidi="ar-SA"/>
    </w:rPr>
  </w:style>
  <w:style w:type="paragraph" w:styleId="Heading2">
    <w:name w:val="Heading 2"/>
    <w:basedOn w:val="Normal"/>
    <w:qFormat/>
    <w:pPr>
      <w:numPr>
        <w:ilvl w:val="0"/>
        <w:numId w:val="0"/>
      </w:numPr>
      <w:spacing w:before="75" w:after="75"/>
      <w:outlineLvl w:val="1"/>
    </w:pPr>
    <w:rPr>
      <w:b/>
      <w:bCs/>
    </w:rPr>
  </w:style>
  <w:style w:type="character" w:styleId="DefaultParagraphFont">
    <w:name w:val="Default Paragraph Font"/>
    <w:qFormat/>
    <w:rPr/>
  </w:style>
  <w:style w:type="character" w:styleId="InternetLink">
    <w:name w:val="Hyperlink"/>
    <w:basedOn w:val="DefaultParagraphFont"/>
    <w:rPr>
      <w:strike w:val="false"/>
      <w:dstrike w:val="false"/>
      <w:color w:val="0000FF"/>
      <w:u w:val="none"/>
      <w:effect w:val="none"/>
    </w:rPr>
  </w:style>
  <w:style w:type="character" w:styleId="VisitedInternetLink">
    <w:name w:val="FollowedHyperlink"/>
    <w:basedOn w:val="DefaultParagraphFont"/>
    <w:rPr>
      <w:strike w:val="false"/>
      <w:dstrike w:val="false"/>
      <w:color w:val="800080"/>
      <w:u w:val="none"/>
      <w:effect w:val="none"/>
    </w:rPr>
  </w:style>
  <w:style w:type="character" w:styleId="Heading2Char">
    <w:name w:val="Heading 2 Char"/>
    <w:basedOn w:val="DefaultParagraphFont"/>
    <w:qFormat/>
    <w:rPr>
      <w:rFonts w:ascii="Calibri Light" w:hAnsi="Calibri Light" w:eastAsia="Times New Roman" w:cs="Times New Roman"/>
      <w:color w:val="2F5496"/>
      <w:sz w:val="26"/>
      <w:szCs w:val="26"/>
    </w:rPr>
  </w:style>
  <w:style w:type="character" w:styleId="Positiverightspacer">
    <w:name w:val="positive-right-spacer"/>
    <w:basedOn w:val="DefaultParagraphFont"/>
    <w:qFormat/>
    <w:rPr/>
  </w:style>
  <w:style w:type="character" w:styleId="Negativerightbracket">
    <w:name w:val="negative-right-bracket"/>
    <w:basedOn w:val="DefaultParagraphFont"/>
    <w:qFormat/>
    <w:rPr/>
  </w:style>
  <w:style w:type="character" w:styleId="Counterprefix1">
    <w:name w:val="counterprefix1"/>
    <w:basedOn w:val="DefaultParagraphFont"/>
    <w:qFormat/>
    <w:rPr>
      <w:b/>
      <w:bCs/>
    </w:rPr>
  </w:style>
  <w:style w:type="character" w:styleId="Title1">
    <w:name w:val="title1"/>
    <w:basedOn w:val="DefaultParagraphFont"/>
    <w:qFormat/>
    <w:rPr>
      <w:b/>
      <w:bCs/>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Msonormal">
    <w:name w:val="msonormal"/>
    <w:basedOn w:val="Normal"/>
    <w:qFormat/>
    <w:pPr>
      <w:spacing w:before="280" w:after="280"/>
    </w:pPr>
    <w:rPr/>
  </w:style>
  <w:style w:type="paragraph" w:styleId="Breakword">
    <w:name w:val="breakword"/>
    <w:basedOn w:val="Normal"/>
    <w:qFormat/>
    <w:pPr>
      <w:spacing w:before="280" w:after="280"/>
    </w:pPr>
    <w:rPr/>
  </w:style>
  <w:style w:type="paragraph" w:styleId="Break">
    <w:name w:val="break"/>
    <w:basedOn w:val="Normal"/>
    <w:qFormat/>
    <w:pPr>
      <w:spacing w:before="280" w:after="280"/>
      <w:jc w:val="center"/>
    </w:pPr>
    <w:rPr/>
  </w:style>
  <w:style w:type="paragraph" w:styleId="Minheight">
    <w:name w:val="min_height"/>
    <w:basedOn w:val="Normal"/>
    <w:qFormat/>
    <w:pPr>
      <w:spacing w:before="280" w:after="280"/>
    </w:pPr>
    <w:rPr>
      <w:sz w:val="2"/>
      <w:szCs w:val="2"/>
    </w:rPr>
  </w:style>
  <w:style w:type="paragraph" w:styleId="Cttitle">
    <w:name w:val="cttitle"/>
    <w:basedOn w:val="Normal"/>
    <w:qFormat/>
    <w:pPr>
      <w:spacing w:before="75" w:after="75"/>
    </w:pPr>
    <w:rPr>
      <w:b/>
      <w:bCs/>
    </w:rPr>
  </w:style>
  <w:style w:type="paragraph" w:styleId="Thunderlining">
    <w:name w:val="thunderlining"/>
    <w:basedOn w:val="Normal"/>
    <w:qFormat/>
    <w:pPr>
      <w:spacing w:before="280" w:after="280"/>
      <w:jc w:val="center"/>
    </w:pPr>
    <w:rPr>
      <w:b/>
      <w:bCs/>
    </w:rPr>
  </w:style>
  <w:style w:type="paragraph" w:styleId="Continue">
    <w:name w:val="continue"/>
    <w:basedOn w:val="Normal"/>
    <w:qFormat/>
    <w:pPr>
      <w:spacing w:before="280" w:after="280"/>
      <w:jc w:val="right"/>
    </w:pPr>
    <w:rPr/>
  </w:style>
  <w:style w:type="paragraph" w:styleId="Pageheader">
    <w:name w:val="pageheader"/>
    <w:basedOn w:val="Normal"/>
    <w:qFormat/>
    <w:pPr>
      <w:spacing w:before="280" w:after="150"/>
      <w:jc w:val="center"/>
    </w:pPr>
    <w:rPr>
      <w:b/>
      <w:bCs/>
    </w:rPr>
  </w:style>
  <w:style w:type="paragraph" w:styleId="Sectionname">
    <w:name w:val="sectionname"/>
    <w:basedOn w:val="Normal"/>
    <w:qFormat/>
    <w:pPr>
      <w:spacing w:before="280" w:after="280"/>
    </w:pPr>
    <w:rPr>
      <w:vanish/>
    </w:rPr>
  </w:style>
  <w:style w:type="paragraph" w:styleId="Strong1">
    <w:name w:val="Strong1"/>
    <w:basedOn w:val="Normal"/>
    <w:qFormat/>
    <w:pPr>
      <w:spacing w:before="280" w:after="280"/>
    </w:pPr>
    <w:rPr>
      <w:b/>
      <w:bCs/>
    </w:rPr>
  </w:style>
  <w:style w:type="paragraph" w:styleId="Count">
    <w:name w:val="count"/>
    <w:basedOn w:val="Normal"/>
    <w:qFormat/>
    <w:pPr>
      <w:spacing w:before="280" w:after="280"/>
      <w:jc w:val="center"/>
    </w:pPr>
    <w:rPr>
      <w:b/>
      <w:bCs/>
    </w:rPr>
  </w:style>
  <w:style w:type="paragraph" w:styleId="Italic">
    <w:name w:val="italic"/>
    <w:basedOn w:val="Normal"/>
    <w:qFormat/>
    <w:pPr>
      <w:spacing w:before="280" w:after="280"/>
    </w:pPr>
    <w:rPr>
      <w:i/>
      <w:iCs/>
    </w:rPr>
  </w:style>
  <w:style w:type="paragraph" w:styleId="Money">
    <w:name w:val="money"/>
    <w:basedOn w:val="Normal"/>
    <w:qFormat/>
    <w:pPr>
      <w:spacing w:before="280" w:after="280"/>
      <w:jc w:val="right"/>
    </w:pPr>
    <w:rPr/>
  </w:style>
  <w:style w:type="paragraph" w:styleId="Title11">
    <w:name w:val="Title1"/>
    <w:basedOn w:val="Normal"/>
    <w:qFormat/>
    <w:pPr>
      <w:spacing w:before="150" w:after="280"/>
    </w:pPr>
    <w:rPr>
      <w:b/>
      <w:bCs/>
    </w:rPr>
  </w:style>
  <w:style w:type="paragraph" w:styleId="Counterprefix">
    <w:name w:val="counterprefix"/>
    <w:basedOn w:val="Normal"/>
    <w:qFormat/>
    <w:pPr>
      <w:spacing w:before="150" w:after="280"/>
    </w:pPr>
    <w:rPr>
      <w:b/>
      <w:bCs/>
    </w:rPr>
  </w:style>
  <w:style w:type="paragraph" w:styleId="Contentpagenumber">
    <w:name w:val="contentpagenumber"/>
    <w:basedOn w:val="Normal"/>
    <w:qFormat/>
    <w:pPr>
      <w:spacing w:before="280" w:after="280"/>
      <w:jc w:val="center"/>
    </w:pPr>
    <w:rPr/>
  </w:style>
  <w:style w:type="paragraph" w:styleId="Notesection">
    <w:name w:val="note-section"/>
    <w:basedOn w:val="Normal"/>
    <w:qFormat/>
    <w:pPr>
      <w:spacing w:before="280" w:after="280"/>
    </w:pPr>
    <w:rPr/>
  </w:style>
  <w:style w:type="paragraph" w:styleId="Counted">
    <w:name w:val="counted"/>
    <w:basedOn w:val="Normal"/>
    <w:qFormat/>
    <w:pPr>
      <w:spacing w:before="150" w:after="0"/>
    </w:pPr>
    <w:rPr/>
  </w:style>
  <w:style w:type="paragraph" w:styleId="Dots">
    <w:name w:val="dots"/>
    <w:basedOn w:val="Normal"/>
    <w:qFormat/>
    <w:pPr>
      <w:pBdr>
        <w:top w:val="dashed" w:sz="6" w:space="0" w:color="000000"/>
      </w:pBdr>
      <w:spacing w:before="480" w:after="280"/>
    </w:pPr>
    <w:rPr/>
  </w:style>
  <w:style w:type="paragraph" w:styleId="Signplace">
    <w:name w:val="signplace"/>
    <w:basedOn w:val="Normal"/>
    <w:qFormat/>
    <w:pPr>
      <w:spacing w:before="280" w:after="280"/>
    </w:pPr>
    <w:rPr/>
  </w:style>
  <w:style w:type="paragraph" w:styleId="Directorssign">
    <w:name w:val="directorssign"/>
    <w:basedOn w:val="Normal"/>
    <w:qFormat/>
    <w:pPr>
      <w:spacing w:before="280" w:after="280"/>
    </w:pPr>
    <w:rPr/>
  </w:style>
  <w:style w:type="paragraph" w:styleId="Footer1">
    <w:name w:val="Footer1"/>
    <w:basedOn w:val="Normal"/>
    <w:qFormat/>
    <w:pPr>
      <w:spacing w:before="280" w:after="280"/>
      <w:jc w:val="center"/>
    </w:pPr>
    <w:rPr>
      <w:sz w:val="20"/>
      <w:szCs w:val="20"/>
    </w:rPr>
  </w:style>
  <w:style w:type="paragraph" w:styleId="Counted1">
    <w:name w:val="counted1"/>
    <w:basedOn w:val="Normal"/>
    <w:qFormat/>
    <w:pPr>
      <w:spacing w:before="150" w:after="0"/>
      <w:ind w:left="300" w:right="0" w:hanging="0"/>
    </w:pPr>
    <w:rPr/>
  </w:style>
  <w:style w:type="paragraph" w:styleId="FrameContents">
    <w:name w:val="Frame Contents"/>
    <w:basedOn w:val="Normal"/>
    <w:qFormat/>
    <w:pPr/>
    <w:rPr/>
  </w:style>
  <w:style w:type="paragraph" w:styleId="TableContents">
    <w:name w:val="Table Contents"/>
    <w:basedOn w:val="Normal"/>
    <w:qFormat/>
    <w:pPr>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1</TotalTime>
  <Application>LibreOffice/6.4.3.2$Windows_X86_64 LibreOffice_project/747b5d0ebf89f41c860ec2a39efd7cb15b54f2d8</Application>
  <Pages>5</Pages>
  <Words>597</Words>
  <CharactersWithSpaces>3606</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2020-06-04T17:43:00Z</dcterms:created>
  <dc:creator>Emerald Thomas</dc:creator>
  <dc:description/>
  <dc:language>en-GB</dc:language>
  <cp:lastModifiedBy>Emerald Thomas</cp:lastModifiedBy>
  <dcterms:modified xsi:type="dcterms:W3CDTF">2020-06-04T17:43:00Z</dcterms:modified>
  <cp:revision>2</cp:revision>
  <dc:subject/>
  <dc:title>Grinshill All Saints Parish Church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0x0101004F8580D26CC3A748B09CAAC021422BE2</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