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D6119" w14:textId="77777777" w:rsidR="00080BAE" w:rsidRPr="00661E0E" w:rsidRDefault="006E793E" w:rsidP="00E7466D">
      <w:pPr>
        <w:tabs>
          <w:tab w:val="left" w:pos="5954"/>
        </w:tabs>
        <w:jc w:val="center"/>
        <w:rPr>
          <w:rFonts w:ascii="Georgia" w:hAnsi="Georgia"/>
          <w:color w:val="FF0000"/>
          <w:sz w:val="28"/>
          <w:szCs w:val="28"/>
        </w:rPr>
      </w:pPr>
      <w:bookmarkStart w:id="0" w:name="_GoBack"/>
      <w:bookmarkEnd w:id="0"/>
      <w:r w:rsidRPr="00661E0E">
        <w:rPr>
          <w:rFonts w:ascii="Georgia" w:hAnsi="Georgia"/>
          <w:color w:val="FF0000"/>
          <w:sz w:val="28"/>
          <w:szCs w:val="28"/>
        </w:rPr>
        <w:t>E</w:t>
      </w:r>
      <w:r w:rsidR="00F75BB5" w:rsidRPr="00661E0E">
        <w:rPr>
          <w:rFonts w:ascii="Georgia" w:hAnsi="Georgia"/>
          <w:color w:val="FF0000"/>
          <w:sz w:val="28"/>
          <w:szCs w:val="28"/>
        </w:rPr>
        <w:t>AST THAME</w:t>
      </w:r>
      <w:r w:rsidR="00E7466D" w:rsidRPr="00661E0E">
        <w:rPr>
          <w:rFonts w:ascii="Georgia" w:hAnsi="Georgia"/>
          <w:color w:val="FF0000"/>
          <w:sz w:val="28"/>
          <w:szCs w:val="28"/>
        </w:rPr>
        <w:t xml:space="preserve"> RESIDENTS</w:t>
      </w:r>
    </w:p>
    <w:p w14:paraId="6A32E654" w14:textId="77777777" w:rsidR="00E7466D" w:rsidRPr="00661E0E" w:rsidRDefault="00E7466D" w:rsidP="00E7466D">
      <w:pPr>
        <w:tabs>
          <w:tab w:val="left" w:pos="5954"/>
        </w:tabs>
        <w:jc w:val="center"/>
        <w:rPr>
          <w:rFonts w:ascii="Georgia" w:hAnsi="Georgia"/>
          <w:color w:val="FF0000"/>
          <w:sz w:val="28"/>
          <w:szCs w:val="28"/>
        </w:rPr>
      </w:pPr>
      <w:r w:rsidRPr="00661E0E">
        <w:rPr>
          <w:rFonts w:ascii="Georgia" w:hAnsi="Georgia"/>
          <w:color w:val="FF0000"/>
          <w:sz w:val="28"/>
          <w:szCs w:val="28"/>
        </w:rPr>
        <w:t>ASSOCIATION</w:t>
      </w:r>
    </w:p>
    <w:p w14:paraId="3DBB1416" w14:textId="77777777" w:rsidR="009334F4" w:rsidRPr="009C124B" w:rsidRDefault="009334F4" w:rsidP="00E7466D">
      <w:pPr>
        <w:tabs>
          <w:tab w:val="left" w:pos="5954"/>
        </w:tabs>
        <w:jc w:val="center"/>
        <w:rPr>
          <w:rFonts w:ascii="Georgia" w:hAnsi="Georgia"/>
          <w:color w:val="FF0000"/>
          <w:sz w:val="32"/>
          <w:szCs w:val="32"/>
        </w:rPr>
      </w:pPr>
      <w:r w:rsidRPr="00661E0E">
        <w:rPr>
          <w:rFonts w:ascii="Georgia" w:hAnsi="Georgia"/>
          <w:color w:val="FF0000"/>
          <w:sz w:val="28"/>
          <w:szCs w:val="28"/>
        </w:rPr>
        <w:t>(ETRA)</w:t>
      </w:r>
    </w:p>
    <w:p w14:paraId="4CFE553A" w14:textId="77777777" w:rsidR="00661E0E" w:rsidRDefault="00661E0E" w:rsidP="00661E0E">
      <w:pPr>
        <w:tabs>
          <w:tab w:val="left" w:pos="5954"/>
        </w:tabs>
        <w:jc w:val="center"/>
        <w:rPr>
          <w:rFonts w:ascii="Georgia" w:hAnsi="Georgia"/>
          <w:b/>
          <w:sz w:val="32"/>
          <w:szCs w:val="32"/>
        </w:rPr>
      </w:pPr>
    </w:p>
    <w:p w14:paraId="5418659D" w14:textId="77777777" w:rsidR="00950E0F" w:rsidRPr="009C124B" w:rsidRDefault="00950E0F" w:rsidP="00661E0E">
      <w:pPr>
        <w:tabs>
          <w:tab w:val="left" w:pos="5954"/>
        </w:tabs>
        <w:jc w:val="center"/>
        <w:rPr>
          <w:rFonts w:ascii="Georgia" w:hAnsi="Georgia"/>
          <w:b/>
          <w:sz w:val="32"/>
          <w:szCs w:val="32"/>
        </w:rPr>
      </w:pPr>
      <w:r w:rsidRPr="009C124B">
        <w:rPr>
          <w:rFonts w:ascii="Georgia" w:hAnsi="Georgia"/>
          <w:b/>
          <w:sz w:val="32"/>
          <w:szCs w:val="32"/>
        </w:rPr>
        <w:t xml:space="preserve">Annual Report for </w:t>
      </w:r>
      <w:r w:rsidR="00C03533" w:rsidRPr="009C124B">
        <w:rPr>
          <w:rFonts w:ascii="Georgia" w:hAnsi="Georgia"/>
          <w:b/>
          <w:sz w:val="32"/>
          <w:szCs w:val="32"/>
        </w:rPr>
        <w:t>t</w:t>
      </w:r>
      <w:r w:rsidR="0039013A" w:rsidRPr="009C124B">
        <w:rPr>
          <w:rFonts w:ascii="Georgia" w:hAnsi="Georgia"/>
          <w:b/>
          <w:sz w:val="32"/>
          <w:szCs w:val="32"/>
        </w:rPr>
        <w:t xml:space="preserve">he AGM on </w:t>
      </w:r>
      <w:r w:rsidR="0003629C">
        <w:rPr>
          <w:rFonts w:ascii="Georgia" w:hAnsi="Georgia"/>
          <w:b/>
          <w:sz w:val="32"/>
          <w:szCs w:val="32"/>
        </w:rPr>
        <w:t>28th</w:t>
      </w:r>
      <w:r w:rsidR="006C7158">
        <w:rPr>
          <w:rFonts w:ascii="Georgia" w:hAnsi="Georgia"/>
          <w:b/>
          <w:sz w:val="32"/>
          <w:szCs w:val="32"/>
        </w:rPr>
        <w:t xml:space="preserve"> March 201</w:t>
      </w:r>
      <w:r w:rsidR="0003629C">
        <w:rPr>
          <w:rFonts w:ascii="Georgia" w:hAnsi="Georgia"/>
          <w:b/>
          <w:sz w:val="32"/>
          <w:szCs w:val="32"/>
        </w:rPr>
        <w:t>9</w:t>
      </w:r>
    </w:p>
    <w:p w14:paraId="46FF262E" w14:textId="25C57C75" w:rsidR="00661E0E" w:rsidRDefault="00661E0E" w:rsidP="00983020">
      <w:pPr>
        <w:tabs>
          <w:tab w:val="left" w:pos="5954"/>
        </w:tabs>
        <w:rPr>
          <w:rFonts w:asciiTheme="minorHAnsi" w:hAnsiTheme="minorHAnsi" w:cstheme="minorHAnsi"/>
          <w:sz w:val="20"/>
          <w:szCs w:val="20"/>
        </w:rPr>
      </w:pPr>
    </w:p>
    <w:p w14:paraId="24446188" w14:textId="6E5E6DC1" w:rsidR="0003629C" w:rsidRDefault="0003629C" w:rsidP="00983020">
      <w:pPr>
        <w:tabs>
          <w:tab w:val="left" w:pos="5954"/>
        </w:tabs>
        <w:rPr>
          <w:rFonts w:asciiTheme="minorHAnsi" w:hAnsiTheme="minorHAnsi" w:cstheme="minorHAnsi"/>
          <w:sz w:val="20"/>
          <w:szCs w:val="20"/>
        </w:rPr>
      </w:pPr>
    </w:p>
    <w:p w14:paraId="78206C14" w14:textId="77777777" w:rsidR="0003629C" w:rsidRPr="0003629C" w:rsidRDefault="0003629C" w:rsidP="0003629C">
      <w:pPr>
        <w:rPr>
          <w:rFonts w:asciiTheme="minorHAnsi" w:eastAsia="Times New Roman" w:hAnsiTheme="minorHAnsi" w:cstheme="minorHAnsi"/>
          <w:sz w:val="22"/>
          <w:szCs w:val="22"/>
        </w:rPr>
      </w:pPr>
      <w:r w:rsidRPr="0003629C">
        <w:rPr>
          <w:rFonts w:asciiTheme="minorHAnsi" w:eastAsia="Times New Roman" w:hAnsiTheme="minorHAnsi" w:cstheme="minorHAnsi"/>
          <w:b/>
          <w:bCs/>
          <w:color w:val="000000"/>
          <w:sz w:val="22"/>
          <w:szCs w:val="22"/>
          <w:u w:val="single"/>
        </w:rPr>
        <w:t>Updates on major local and regional plans</w:t>
      </w:r>
    </w:p>
    <w:p w14:paraId="0EDF3973" w14:textId="77777777" w:rsidR="0003629C" w:rsidRPr="0003629C" w:rsidRDefault="0003629C" w:rsidP="0003629C">
      <w:pPr>
        <w:rPr>
          <w:rFonts w:asciiTheme="minorHAnsi" w:eastAsia="Times New Roman" w:hAnsiTheme="minorHAnsi" w:cstheme="minorHAnsi"/>
          <w:sz w:val="22"/>
          <w:szCs w:val="22"/>
        </w:rPr>
      </w:pPr>
    </w:p>
    <w:p w14:paraId="24AB9FC2" w14:textId="77777777" w:rsidR="0003629C" w:rsidRPr="0003629C" w:rsidRDefault="0003629C" w:rsidP="0003629C">
      <w:pPr>
        <w:rPr>
          <w:rFonts w:asciiTheme="minorHAnsi" w:eastAsia="Times New Roman" w:hAnsiTheme="minorHAnsi" w:cstheme="minorHAnsi"/>
          <w:sz w:val="22"/>
          <w:szCs w:val="22"/>
        </w:rPr>
      </w:pPr>
      <w:r w:rsidRPr="0003629C">
        <w:rPr>
          <w:rFonts w:asciiTheme="minorHAnsi" w:eastAsia="Times New Roman" w:hAnsiTheme="minorHAnsi" w:cstheme="minorHAnsi"/>
          <w:color w:val="000000"/>
          <w:sz w:val="22"/>
          <w:szCs w:val="22"/>
        </w:rPr>
        <w:t>It is not too much to say that we are at the centre of a welter of plans that are mostly top down driven and over which we have any or little control. Firstly,</w:t>
      </w:r>
    </w:p>
    <w:p w14:paraId="671CAB0B" w14:textId="77777777" w:rsidR="0003629C" w:rsidRPr="0003629C" w:rsidRDefault="0003629C" w:rsidP="0003629C">
      <w:pPr>
        <w:rPr>
          <w:rFonts w:asciiTheme="minorHAnsi" w:eastAsia="Times New Roman" w:hAnsiTheme="minorHAnsi" w:cstheme="minorHAnsi"/>
          <w:sz w:val="22"/>
          <w:szCs w:val="22"/>
        </w:rPr>
      </w:pPr>
    </w:p>
    <w:p w14:paraId="51DAAF78" w14:textId="77777777" w:rsidR="0003629C" w:rsidRPr="0003629C" w:rsidRDefault="0003629C" w:rsidP="0003629C">
      <w:pPr>
        <w:rPr>
          <w:rFonts w:asciiTheme="minorHAnsi" w:eastAsia="Times New Roman" w:hAnsiTheme="minorHAnsi" w:cstheme="minorHAnsi"/>
          <w:sz w:val="22"/>
          <w:szCs w:val="22"/>
        </w:rPr>
      </w:pPr>
      <w:r w:rsidRPr="0003629C">
        <w:rPr>
          <w:rFonts w:asciiTheme="minorHAnsi" w:eastAsia="Times New Roman" w:hAnsiTheme="minorHAnsi" w:cstheme="minorHAnsi"/>
          <w:b/>
          <w:bCs/>
          <w:color w:val="000000"/>
          <w:sz w:val="22"/>
          <w:szCs w:val="22"/>
        </w:rPr>
        <w:t>Oxford- Cambridge Expressway</w:t>
      </w:r>
    </w:p>
    <w:p w14:paraId="4D8A6CB4" w14:textId="77777777" w:rsidR="0003629C" w:rsidRPr="0003629C" w:rsidRDefault="0003629C" w:rsidP="0003629C">
      <w:pPr>
        <w:rPr>
          <w:rFonts w:asciiTheme="minorHAnsi" w:eastAsia="Times New Roman" w:hAnsiTheme="minorHAnsi" w:cstheme="minorHAnsi"/>
          <w:sz w:val="22"/>
          <w:szCs w:val="22"/>
        </w:rPr>
      </w:pPr>
    </w:p>
    <w:p w14:paraId="527914A0" w14:textId="1513BAC6" w:rsidR="0003629C" w:rsidRPr="0003629C" w:rsidRDefault="0003629C" w:rsidP="0003629C">
      <w:pPr>
        <w:rPr>
          <w:rFonts w:asciiTheme="minorHAnsi" w:eastAsia="Times New Roman" w:hAnsiTheme="minorHAnsi" w:cstheme="minorHAnsi"/>
          <w:sz w:val="22"/>
          <w:szCs w:val="22"/>
        </w:rPr>
      </w:pPr>
      <w:r w:rsidRPr="0003629C">
        <w:rPr>
          <w:rFonts w:asciiTheme="minorHAnsi" w:eastAsia="Times New Roman" w:hAnsiTheme="minorHAnsi" w:cstheme="minorHAnsi"/>
          <w:color w:val="000000"/>
          <w:sz w:val="22"/>
          <w:szCs w:val="22"/>
        </w:rPr>
        <w:t>This plan exercises a substantial influence on the rest even though it is not yet fully defined. Though the middle of the 3 routes- corridor B- has been chosen, the course of the route around Oxford has not yet been determined. Corridor B avoids Thame but the route around Oxford, dependent on the one chosen, could have a marginal effect. However, the real effect of the Expressway is to create a “growth corridor” which brings us to:</w:t>
      </w:r>
    </w:p>
    <w:p w14:paraId="0A1912CC" w14:textId="77777777" w:rsidR="0003629C" w:rsidRPr="0003629C" w:rsidRDefault="0003629C" w:rsidP="0003629C">
      <w:pPr>
        <w:rPr>
          <w:rFonts w:asciiTheme="minorHAnsi" w:eastAsia="Times New Roman" w:hAnsiTheme="minorHAnsi" w:cstheme="minorHAnsi"/>
          <w:sz w:val="22"/>
          <w:szCs w:val="22"/>
        </w:rPr>
      </w:pPr>
    </w:p>
    <w:p w14:paraId="7EF2D953" w14:textId="77777777" w:rsidR="0003629C" w:rsidRPr="0003629C" w:rsidRDefault="0003629C" w:rsidP="0003629C">
      <w:pPr>
        <w:rPr>
          <w:rFonts w:asciiTheme="minorHAnsi" w:eastAsia="Times New Roman" w:hAnsiTheme="minorHAnsi" w:cstheme="minorHAnsi"/>
          <w:sz w:val="22"/>
          <w:szCs w:val="22"/>
        </w:rPr>
      </w:pPr>
      <w:r w:rsidRPr="0003629C">
        <w:rPr>
          <w:rFonts w:asciiTheme="minorHAnsi" w:eastAsia="Times New Roman" w:hAnsiTheme="minorHAnsi" w:cstheme="minorHAnsi"/>
          <w:b/>
          <w:bCs/>
          <w:color w:val="000000"/>
          <w:sz w:val="22"/>
          <w:szCs w:val="22"/>
        </w:rPr>
        <w:t>Oxfordshire Plan 2050</w:t>
      </w:r>
    </w:p>
    <w:p w14:paraId="45882E5A" w14:textId="77777777" w:rsidR="0003629C" w:rsidRPr="0003629C" w:rsidRDefault="0003629C" w:rsidP="0003629C">
      <w:pPr>
        <w:rPr>
          <w:rFonts w:asciiTheme="minorHAnsi" w:eastAsia="Times New Roman" w:hAnsiTheme="minorHAnsi" w:cstheme="minorHAnsi"/>
          <w:sz w:val="22"/>
          <w:szCs w:val="22"/>
        </w:rPr>
      </w:pPr>
    </w:p>
    <w:p w14:paraId="14670D70" w14:textId="1E3CEE94"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 xml:space="preserve">The Oxfordshire Growth Board (see below) consulted on this plan until 25 March. It was previously known by the less </w:t>
      </w:r>
      <w:r w:rsidR="00F02EDE" w:rsidRPr="0003629C">
        <w:rPr>
          <w:rFonts w:asciiTheme="minorHAnsi" w:eastAsia="Times New Roman" w:hAnsiTheme="minorHAnsi" w:cstheme="minorHAnsi"/>
          <w:color w:val="222222"/>
          <w:sz w:val="22"/>
          <w:szCs w:val="22"/>
        </w:rPr>
        <w:t>user-friendly</w:t>
      </w:r>
      <w:r w:rsidRPr="0003629C">
        <w:rPr>
          <w:rFonts w:asciiTheme="minorHAnsi" w:eastAsia="Times New Roman" w:hAnsiTheme="minorHAnsi" w:cstheme="minorHAnsi"/>
          <w:color w:val="222222"/>
          <w:sz w:val="22"/>
          <w:szCs w:val="22"/>
        </w:rPr>
        <w:t xml:space="preserve"> </w:t>
      </w:r>
      <w:r w:rsidR="00F02EDE" w:rsidRPr="0003629C">
        <w:rPr>
          <w:rFonts w:asciiTheme="minorHAnsi" w:eastAsia="Times New Roman" w:hAnsiTheme="minorHAnsi" w:cstheme="minorHAnsi"/>
          <w:color w:val="222222"/>
          <w:sz w:val="22"/>
          <w:szCs w:val="22"/>
        </w:rPr>
        <w:t>name of</w:t>
      </w:r>
      <w:r w:rsidRPr="0003629C">
        <w:rPr>
          <w:rFonts w:asciiTheme="minorHAnsi" w:eastAsia="Times New Roman" w:hAnsiTheme="minorHAnsi" w:cstheme="minorHAnsi"/>
          <w:color w:val="222222"/>
          <w:sz w:val="22"/>
          <w:szCs w:val="22"/>
        </w:rPr>
        <w:t xml:space="preserve"> the Oxfordshire Joint Statutory Spatial Plan.  This will set out the development framework for the county for the next generation. </w:t>
      </w:r>
    </w:p>
    <w:p w14:paraId="507B33E4"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 xml:space="preserve"> </w:t>
      </w:r>
    </w:p>
    <w:p w14:paraId="21828021"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At this stage, the consultation is on the Vision and Objectives, and does not include specific targets.  However, although not spelt out in the Plan, after 2031, the Oxford-Cambridge growth corridor proposals envisage another 250,000 or so houses - doubling Oxfordshire's housing stock and population by 2050.</w:t>
      </w:r>
    </w:p>
    <w:p w14:paraId="267A44B6"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3BAAC1F9"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Oxfordshire Growth Board</w:t>
      </w:r>
    </w:p>
    <w:p w14:paraId="20E04EB7"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5838937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The Oxfordshire Growth Board- a mix of local authorities, business and universities- has already agreed to another 100,000 houses in return for £215 million from the Government for infrastructure projects. This represents a 40% increase already. SODC have signed up for their share and included the increase in its:</w:t>
      </w:r>
    </w:p>
    <w:p w14:paraId="0D7E96B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4C690428"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 xml:space="preserve"> SODC Local Plan 2034</w:t>
      </w:r>
    </w:p>
    <w:p w14:paraId="73D16146"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428DA61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After much delay (see</w:t>
      </w:r>
      <w:r w:rsidRPr="0003629C">
        <w:rPr>
          <w:rFonts w:asciiTheme="minorHAnsi" w:eastAsia="Times New Roman" w:hAnsiTheme="minorHAnsi" w:cstheme="minorHAnsi"/>
          <w:b/>
          <w:bCs/>
          <w:color w:val="222222"/>
          <w:sz w:val="22"/>
          <w:szCs w:val="22"/>
        </w:rPr>
        <w:t xml:space="preserve"> </w:t>
      </w:r>
      <w:r w:rsidRPr="0003629C">
        <w:rPr>
          <w:rFonts w:asciiTheme="minorHAnsi" w:eastAsia="Times New Roman" w:hAnsiTheme="minorHAnsi" w:cstheme="minorHAnsi"/>
          <w:color w:val="222222"/>
          <w:sz w:val="22"/>
          <w:szCs w:val="22"/>
        </w:rPr>
        <w:t>website for</w:t>
      </w:r>
      <w:r w:rsidRPr="0003629C">
        <w:rPr>
          <w:rFonts w:asciiTheme="minorHAnsi" w:eastAsia="Times New Roman" w:hAnsiTheme="minorHAnsi" w:cstheme="minorHAnsi"/>
          <w:b/>
          <w:bCs/>
          <w:color w:val="222222"/>
          <w:sz w:val="22"/>
          <w:szCs w:val="22"/>
        </w:rPr>
        <w:t xml:space="preserve"> </w:t>
      </w:r>
      <w:r w:rsidRPr="0003629C">
        <w:rPr>
          <w:rFonts w:asciiTheme="minorHAnsi" w:eastAsia="Times New Roman" w:hAnsiTheme="minorHAnsi" w:cstheme="minorHAnsi"/>
          <w:color w:val="222222"/>
          <w:sz w:val="22"/>
          <w:szCs w:val="22"/>
        </w:rPr>
        <w:t>newsletters with full detail) the Plan is about to go for examination and the Inspector’s conclusions should be available by the Autumn. Serious concerns have been submitted by Thame Town Council about the Plan in terms of fairness, practicality and adherence to national policy. ETRA has submitted concerns on a number of issues previously outlined in newsletters. Once the Inspector has passed the Local Plan 2034- he could delay by rejecting it or requiring revision, Thame Town Council has one year to produce a new version of the:</w:t>
      </w:r>
    </w:p>
    <w:p w14:paraId="4F2A0E08"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72669828" w14:textId="77777777" w:rsidR="00F02EDE" w:rsidRDefault="00F02EDE" w:rsidP="0003629C">
      <w:pPr>
        <w:shd w:val="clear" w:color="auto" w:fill="FFFFFF"/>
        <w:rPr>
          <w:rFonts w:asciiTheme="minorHAnsi" w:eastAsia="Times New Roman" w:hAnsiTheme="minorHAnsi" w:cstheme="minorHAnsi"/>
          <w:b/>
          <w:bCs/>
          <w:color w:val="222222"/>
          <w:sz w:val="22"/>
          <w:szCs w:val="22"/>
        </w:rPr>
      </w:pPr>
    </w:p>
    <w:p w14:paraId="36F9908D" w14:textId="77777777" w:rsidR="00F02EDE" w:rsidRDefault="00F02EDE" w:rsidP="0003629C">
      <w:pPr>
        <w:shd w:val="clear" w:color="auto" w:fill="FFFFFF"/>
        <w:rPr>
          <w:rFonts w:asciiTheme="minorHAnsi" w:eastAsia="Times New Roman" w:hAnsiTheme="minorHAnsi" w:cstheme="minorHAnsi"/>
          <w:b/>
          <w:bCs/>
          <w:color w:val="222222"/>
          <w:sz w:val="22"/>
          <w:szCs w:val="22"/>
        </w:rPr>
      </w:pPr>
    </w:p>
    <w:p w14:paraId="59AC64D7" w14:textId="77777777" w:rsidR="00F02EDE" w:rsidRDefault="00F02EDE" w:rsidP="0003629C">
      <w:pPr>
        <w:shd w:val="clear" w:color="auto" w:fill="FFFFFF"/>
        <w:rPr>
          <w:rFonts w:asciiTheme="minorHAnsi" w:eastAsia="Times New Roman" w:hAnsiTheme="minorHAnsi" w:cstheme="minorHAnsi"/>
          <w:b/>
          <w:bCs/>
          <w:color w:val="222222"/>
          <w:sz w:val="22"/>
          <w:szCs w:val="22"/>
        </w:rPr>
      </w:pPr>
    </w:p>
    <w:p w14:paraId="1B6939E7" w14:textId="1F2B42BF"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lastRenderedPageBreak/>
        <w:t>Thame Neighbourhood Plan (TNP)</w:t>
      </w:r>
    </w:p>
    <w:p w14:paraId="2EDF0319"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3C86A80E" w14:textId="59BBA64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Under the Local Plan, Thame is obliged to supply another 363 houses and associated infrastructure. At the moment timetables are uncertain owing to the potential outcome of the SODC Local Plan 2034 examination but a draft for public consultation is unlikely until at least the spring of 2020. However, background studies are being carried out, as well as a call for housing sites, in preparation for the construction of the TNP.</w:t>
      </w:r>
    </w:p>
    <w:p w14:paraId="14E9EFFD"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6DA87AA6"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u w:val="single"/>
        </w:rPr>
        <w:t>Updates on individual sites/issues</w:t>
      </w:r>
    </w:p>
    <w:p w14:paraId="737625EB"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16998CB4"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“Health Campus” Kingsey Road Roundabout</w:t>
      </w:r>
    </w:p>
    <w:p w14:paraId="1BB79143"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6C4C6FD5"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A public exhibition was held at the Town Hall on 6th March. ETRA had already presented a paper to SODC on access, public transport and parking issues. The town undoubtedly needs improved facilities but any development has to be optimum for residents as well. A key issue is what will be the size of the centre since it may be providing a range of services for a wider area than Thame. However, the relevant Health Trusts have yet to decide their involvement. Pre-application discussions held by the developer, Hallam Land, with SODC led to the latter advising such a project be included in the Thame Neighbourhood Plan first.</w:t>
      </w:r>
    </w:p>
    <w:p w14:paraId="4B6B3CEF"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6C0D6EB8"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DAF site</w:t>
      </w:r>
    </w:p>
    <w:p w14:paraId="5A5D7723"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4EB061F1" w14:textId="4D857CDB"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Angle Developments proposal for a Care Home, Offices and 129 homes was rejected by SODC on the basis of the loss of employment land. Further developments (</w:t>
      </w:r>
      <w:r w:rsidR="00F02EDE" w:rsidRPr="0003629C">
        <w:rPr>
          <w:rFonts w:asciiTheme="minorHAnsi" w:eastAsia="Times New Roman" w:hAnsiTheme="minorHAnsi" w:cstheme="minorHAnsi"/>
          <w:color w:val="222222"/>
          <w:sz w:val="22"/>
          <w:szCs w:val="22"/>
        </w:rPr>
        <w:t>e.g.</w:t>
      </w:r>
      <w:r w:rsidRPr="0003629C">
        <w:rPr>
          <w:rFonts w:asciiTheme="minorHAnsi" w:eastAsia="Times New Roman" w:hAnsiTheme="minorHAnsi" w:cstheme="minorHAnsi"/>
          <w:color w:val="222222"/>
          <w:sz w:val="22"/>
          <w:szCs w:val="22"/>
        </w:rPr>
        <w:t xml:space="preserve"> possible appeal</w:t>
      </w:r>
      <w:r>
        <w:rPr>
          <w:rFonts w:asciiTheme="minorHAnsi" w:eastAsia="Times New Roman" w:hAnsiTheme="minorHAnsi" w:cstheme="minorHAnsi"/>
          <w:color w:val="222222"/>
          <w:sz w:val="22"/>
          <w:szCs w:val="22"/>
        </w:rPr>
        <w:t>)</w:t>
      </w:r>
      <w:r w:rsidRPr="0003629C">
        <w:rPr>
          <w:rFonts w:asciiTheme="minorHAnsi" w:eastAsia="Times New Roman" w:hAnsiTheme="minorHAnsi" w:cstheme="minorHAnsi"/>
          <w:color w:val="222222"/>
          <w:sz w:val="22"/>
          <w:szCs w:val="22"/>
        </w:rPr>
        <w:t xml:space="preserve"> are awaited.</w:t>
      </w:r>
    </w:p>
    <w:p w14:paraId="5FAA276D"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1DB76860"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Lord Williams’s Lower School site</w:t>
      </w:r>
    </w:p>
    <w:p w14:paraId="202BF44F"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 xml:space="preserve"> </w:t>
      </w:r>
    </w:p>
    <w:p w14:paraId="51482E79"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At the full council meeting on Tuesday 26th February, Thame Town Council (TTC) was asked to ‘consider’ the Design Brief prepared by LANPRO on behalf of Lord Williams’s School (LWS). It should be acknowledged that, in response to the public consultation, design changes had been made most notably:</w:t>
      </w:r>
    </w:p>
    <w:p w14:paraId="592BC580"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1.</w:t>
      </w:r>
      <w:r w:rsidRPr="0003629C">
        <w:rPr>
          <w:rFonts w:asciiTheme="minorHAnsi" w:eastAsia="Times New Roman" w:hAnsiTheme="minorHAnsi" w:cstheme="minorHAnsi"/>
          <w:color w:val="222222"/>
          <w:sz w:val="22"/>
          <w:szCs w:val="22"/>
        </w:rPr>
        <w:tab/>
        <w:t>Housing on the playing field moved to the western side next to Meadowcroft.</w:t>
      </w:r>
    </w:p>
    <w:p w14:paraId="7F44AEC4"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2.</w:t>
      </w:r>
      <w:r w:rsidRPr="0003629C">
        <w:rPr>
          <w:rFonts w:asciiTheme="minorHAnsi" w:eastAsia="Times New Roman" w:hAnsiTheme="minorHAnsi" w:cstheme="minorHAnsi"/>
          <w:color w:val="222222"/>
          <w:sz w:val="22"/>
          <w:szCs w:val="22"/>
        </w:rPr>
        <w:tab/>
        <w:t>Withdrawal of the proposal of vehicular access via Chiltern Grove. Pedestrian access proposal still remains subject to Bowls/Tennis Club approval.</w:t>
      </w:r>
    </w:p>
    <w:p w14:paraId="08F18B4B"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3.</w:t>
      </w:r>
      <w:r w:rsidRPr="0003629C">
        <w:rPr>
          <w:rFonts w:asciiTheme="minorHAnsi" w:eastAsia="Times New Roman" w:hAnsiTheme="minorHAnsi" w:cstheme="minorHAnsi"/>
          <w:color w:val="222222"/>
          <w:sz w:val="22"/>
          <w:szCs w:val="22"/>
        </w:rPr>
        <w:tab/>
        <w:t>Increased separation of existing properties to new developments.</w:t>
      </w:r>
    </w:p>
    <w:p w14:paraId="357979E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Thame Town Council approved the design brief for the construction of 135 dwellings only.</w:t>
      </w:r>
    </w:p>
    <w:p w14:paraId="1046CC4B"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07181B43"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 xml:space="preserve">HOWEVER, the approval itself does not relate to a planning application. The planning authority SODC will decide on any planning application that comes forward and it is clear that the eventual application </w:t>
      </w:r>
      <w:r w:rsidRPr="0003629C">
        <w:rPr>
          <w:rFonts w:asciiTheme="minorHAnsi" w:eastAsia="Times New Roman" w:hAnsiTheme="minorHAnsi" w:cstheme="minorHAnsi"/>
          <w:b/>
          <w:bCs/>
          <w:color w:val="222222"/>
          <w:sz w:val="22"/>
          <w:szCs w:val="22"/>
        </w:rPr>
        <w:t>may</w:t>
      </w:r>
      <w:r w:rsidRPr="0003629C">
        <w:rPr>
          <w:rFonts w:asciiTheme="minorHAnsi" w:eastAsia="Times New Roman" w:hAnsiTheme="minorHAnsi" w:cstheme="minorHAnsi"/>
          <w:color w:val="222222"/>
          <w:sz w:val="22"/>
          <w:szCs w:val="22"/>
        </w:rPr>
        <w:t xml:space="preserve"> include increases in numbers as proposed in Lanpro’s letter but rejected by TTC. </w:t>
      </w:r>
    </w:p>
    <w:p w14:paraId="42DA8DC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557E5DEA"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Kingsey Road Roundabout</w:t>
      </w:r>
    </w:p>
    <w:p w14:paraId="6BE5CA8C"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69985651"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The committee is extremely concerned at the attitude of Oxfordshire County Council to the risk to life currently posed. Protests have been made to OCC by the committee and Thame Town Council have passed a motion to get action. Any more news will be announced at the AGM.</w:t>
      </w:r>
    </w:p>
    <w:p w14:paraId="14344C34"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355C1426"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b/>
          <w:bCs/>
          <w:color w:val="222222"/>
          <w:sz w:val="22"/>
          <w:szCs w:val="22"/>
        </w:rPr>
        <w:t>Other developments</w:t>
      </w:r>
    </w:p>
    <w:p w14:paraId="287DC48E"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sz w:val="22"/>
          <w:szCs w:val="22"/>
        </w:rPr>
        <w:t> </w:t>
      </w:r>
    </w:p>
    <w:p w14:paraId="7BEA51C0" w14:textId="77777777" w:rsidR="0003629C" w:rsidRPr="0003629C" w:rsidRDefault="0003629C" w:rsidP="0003629C">
      <w:pPr>
        <w:shd w:val="clear" w:color="auto" w:fill="FFFFFF"/>
        <w:rPr>
          <w:rFonts w:asciiTheme="minorHAnsi" w:eastAsia="Times New Roman" w:hAnsiTheme="minorHAnsi" w:cstheme="minorHAnsi"/>
          <w:sz w:val="22"/>
          <w:szCs w:val="22"/>
        </w:rPr>
      </w:pPr>
      <w:r w:rsidRPr="0003629C">
        <w:rPr>
          <w:rFonts w:asciiTheme="minorHAnsi" w:eastAsia="Times New Roman" w:hAnsiTheme="minorHAnsi" w:cstheme="minorHAnsi"/>
          <w:color w:val="222222"/>
          <w:sz w:val="22"/>
          <w:szCs w:val="22"/>
        </w:rPr>
        <w:t>These will be outlined at the AGM</w:t>
      </w:r>
    </w:p>
    <w:p w14:paraId="37A56CAA" w14:textId="77777777" w:rsidR="0003629C" w:rsidRPr="0003629C" w:rsidRDefault="0003629C" w:rsidP="00983020">
      <w:pPr>
        <w:tabs>
          <w:tab w:val="left" w:pos="5954"/>
        </w:tabs>
        <w:rPr>
          <w:rFonts w:asciiTheme="minorHAnsi" w:hAnsiTheme="minorHAnsi" w:cstheme="minorHAnsi"/>
          <w:sz w:val="22"/>
          <w:szCs w:val="22"/>
        </w:rPr>
      </w:pPr>
    </w:p>
    <w:sectPr w:rsidR="0003629C" w:rsidRPr="000362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20300"/>
    <w:multiLevelType w:val="hybridMultilevel"/>
    <w:tmpl w:val="949EE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E2D3C"/>
    <w:multiLevelType w:val="hybridMultilevel"/>
    <w:tmpl w:val="B65ECF8E"/>
    <w:lvl w:ilvl="0" w:tplc="81B47DFC">
      <w:start w:val="5"/>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13F88"/>
    <w:multiLevelType w:val="hybridMultilevel"/>
    <w:tmpl w:val="50E61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C5F22"/>
    <w:multiLevelType w:val="hybridMultilevel"/>
    <w:tmpl w:val="6CA694F0"/>
    <w:lvl w:ilvl="0" w:tplc="20221380">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5C06453"/>
    <w:multiLevelType w:val="hybridMultilevel"/>
    <w:tmpl w:val="36001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13F07"/>
    <w:multiLevelType w:val="hybridMultilevel"/>
    <w:tmpl w:val="A51805EE"/>
    <w:lvl w:ilvl="0" w:tplc="D88AB2DE">
      <w:numFmt w:val="bullet"/>
      <w:lvlText w:val="–"/>
      <w:lvlJc w:val="left"/>
      <w:pPr>
        <w:ind w:left="1080" w:hanging="360"/>
      </w:pPr>
      <w:rPr>
        <w:rFonts w:ascii="Cambria" w:eastAsia="Times New Roman" w:hAnsi="Cambria"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827235"/>
    <w:multiLevelType w:val="hybridMultilevel"/>
    <w:tmpl w:val="3796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645214"/>
    <w:multiLevelType w:val="hybridMultilevel"/>
    <w:tmpl w:val="9F26FFF0"/>
    <w:lvl w:ilvl="0" w:tplc="45206810">
      <w:start w:val="5"/>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A014C"/>
    <w:multiLevelType w:val="hybridMultilevel"/>
    <w:tmpl w:val="FC260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775BF0"/>
    <w:multiLevelType w:val="hybridMultilevel"/>
    <w:tmpl w:val="C5280F0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7B24AA0"/>
    <w:multiLevelType w:val="hybridMultilevel"/>
    <w:tmpl w:val="76BC6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CF07EF"/>
    <w:multiLevelType w:val="hybridMultilevel"/>
    <w:tmpl w:val="01B84356"/>
    <w:lvl w:ilvl="0" w:tplc="89109470">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577DE4"/>
    <w:multiLevelType w:val="hybridMultilevel"/>
    <w:tmpl w:val="40882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8A7E9F"/>
    <w:multiLevelType w:val="hybridMultilevel"/>
    <w:tmpl w:val="8266E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3D2FA9"/>
    <w:multiLevelType w:val="hybridMultilevel"/>
    <w:tmpl w:val="38FA29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AA7E09"/>
    <w:multiLevelType w:val="hybridMultilevel"/>
    <w:tmpl w:val="A92460AE"/>
    <w:lvl w:ilvl="0" w:tplc="849E32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2B2684"/>
    <w:multiLevelType w:val="hybridMultilevel"/>
    <w:tmpl w:val="693C9A2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4624235"/>
    <w:multiLevelType w:val="hybridMultilevel"/>
    <w:tmpl w:val="688C4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19167E"/>
    <w:multiLevelType w:val="hybridMultilevel"/>
    <w:tmpl w:val="433A6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0107B1"/>
    <w:multiLevelType w:val="hybridMultilevel"/>
    <w:tmpl w:val="DB8AC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4"/>
  </w:num>
  <w:num w:numId="4">
    <w:abstractNumId w:val="1"/>
  </w:num>
  <w:num w:numId="5">
    <w:abstractNumId w:val="7"/>
  </w:num>
  <w:num w:numId="6">
    <w:abstractNumId w:val="0"/>
  </w:num>
  <w:num w:numId="7">
    <w:abstractNumId w:val="8"/>
  </w:num>
  <w:num w:numId="8">
    <w:abstractNumId w:val="12"/>
  </w:num>
  <w:num w:numId="9">
    <w:abstractNumId w:val="6"/>
  </w:num>
  <w:num w:numId="10">
    <w:abstractNumId w:val="4"/>
  </w:num>
  <w:num w:numId="11">
    <w:abstractNumId w:val="17"/>
  </w:num>
  <w:num w:numId="12">
    <w:abstractNumId w:val="5"/>
  </w:num>
  <w:num w:numId="13">
    <w:abstractNumId w:val="18"/>
  </w:num>
  <w:num w:numId="14">
    <w:abstractNumId w:val="11"/>
  </w:num>
  <w:num w:numId="15">
    <w:abstractNumId w:val="13"/>
  </w:num>
  <w:num w:numId="16">
    <w:abstractNumId w:val="10"/>
  </w:num>
  <w:num w:numId="17">
    <w:abstractNumId w:val="2"/>
  </w:num>
  <w:num w:numId="18">
    <w:abstractNumId w:val="3"/>
  </w:num>
  <w:num w:numId="19">
    <w:abstractNumId w:val="15"/>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86D"/>
    <w:rsid w:val="0001283D"/>
    <w:rsid w:val="00032C5E"/>
    <w:rsid w:val="0003629C"/>
    <w:rsid w:val="00041C68"/>
    <w:rsid w:val="000478A7"/>
    <w:rsid w:val="00054E51"/>
    <w:rsid w:val="000554F9"/>
    <w:rsid w:val="00056CF8"/>
    <w:rsid w:val="0006610F"/>
    <w:rsid w:val="000668AF"/>
    <w:rsid w:val="00080BAE"/>
    <w:rsid w:val="00085603"/>
    <w:rsid w:val="00087EAC"/>
    <w:rsid w:val="000A2933"/>
    <w:rsid w:val="000A2FF1"/>
    <w:rsid w:val="000B5C53"/>
    <w:rsid w:val="000C3992"/>
    <w:rsid w:val="000D341A"/>
    <w:rsid w:val="000D4D75"/>
    <w:rsid w:val="000D636F"/>
    <w:rsid w:val="000E14E8"/>
    <w:rsid w:val="000F5A97"/>
    <w:rsid w:val="0010675E"/>
    <w:rsid w:val="00110A01"/>
    <w:rsid w:val="001222D7"/>
    <w:rsid w:val="00123DCE"/>
    <w:rsid w:val="001270C4"/>
    <w:rsid w:val="00130563"/>
    <w:rsid w:val="00160791"/>
    <w:rsid w:val="001642FF"/>
    <w:rsid w:val="001970A6"/>
    <w:rsid w:val="001A1500"/>
    <w:rsid w:val="001B5BE7"/>
    <w:rsid w:val="001E6843"/>
    <w:rsid w:val="002124C4"/>
    <w:rsid w:val="0022065A"/>
    <w:rsid w:val="00221230"/>
    <w:rsid w:val="00225F20"/>
    <w:rsid w:val="00226E36"/>
    <w:rsid w:val="0023198D"/>
    <w:rsid w:val="002560A5"/>
    <w:rsid w:val="00267BBB"/>
    <w:rsid w:val="00275F10"/>
    <w:rsid w:val="0028097A"/>
    <w:rsid w:val="00282E37"/>
    <w:rsid w:val="0028623C"/>
    <w:rsid w:val="002A28CC"/>
    <w:rsid w:val="002A60AE"/>
    <w:rsid w:val="002B14A2"/>
    <w:rsid w:val="002B1896"/>
    <w:rsid w:val="002D0D97"/>
    <w:rsid w:val="002D3F83"/>
    <w:rsid w:val="002F3D53"/>
    <w:rsid w:val="00320189"/>
    <w:rsid w:val="003333A7"/>
    <w:rsid w:val="00334CE7"/>
    <w:rsid w:val="00336BD3"/>
    <w:rsid w:val="003441BF"/>
    <w:rsid w:val="00347C1C"/>
    <w:rsid w:val="00371344"/>
    <w:rsid w:val="003824CF"/>
    <w:rsid w:val="00385CDC"/>
    <w:rsid w:val="0039013A"/>
    <w:rsid w:val="003B75D5"/>
    <w:rsid w:val="003C5CE7"/>
    <w:rsid w:val="003C74DC"/>
    <w:rsid w:val="003D134E"/>
    <w:rsid w:val="003F16BB"/>
    <w:rsid w:val="00457411"/>
    <w:rsid w:val="004662C1"/>
    <w:rsid w:val="00473603"/>
    <w:rsid w:val="0049473A"/>
    <w:rsid w:val="00494AC9"/>
    <w:rsid w:val="004D5C8A"/>
    <w:rsid w:val="004D6E9E"/>
    <w:rsid w:val="004E0143"/>
    <w:rsid w:val="004F2850"/>
    <w:rsid w:val="00526DCF"/>
    <w:rsid w:val="00530D76"/>
    <w:rsid w:val="00543A77"/>
    <w:rsid w:val="00556FC6"/>
    <w:rsid w:val="00571975"/>
    <w:rsid w:val="00573810"/>
    <w:rsid w:val="00591BF5"/>
    <w:rsid w:val="005B5919"/>
    <w:rsid w:val="005D40CF"/>
    <w:rsid w:val="005E4EE7"/>
    <w:rsid w:val="005F20E8"/>
    <w:rsid w:val="005F4A85"/>
    <w:rsid w:val="005F54C0"/>
    <w:rsid w:val="0060246C"/>
    <w:rsid w:val="0062457F"/>
    <w:rsid w:val="00644129"/>
    <w:rsid w:val="00656C75"/>
    <w:rsid w:val="00661E0E"/>
    <w:rsid w:val="0066481D"/>
    <w:rsid w:val="00666623"/>
    <w:rsid w:val="00667DAB"/>
    <w:rsid w:val="00671DD2"/>
    <w:rsid w:val="00676370"/>
    <w:rsid w:val="00693143"/>
    <w:rsid w:val="006A6005"/>
    <w:rsid w:val="006B350F"/>
    <w:rsid w:val="006C5E0C"/>
    <w:rsid w:val="006C7158"/>
    <w:rsid w:val="006E793E"/>
    <w:rsid w:val="006F324F"/>
    <w:rsid w:val="00701CE7"/>
    <w:rsid w:val="007251A9"/>
    <w:rsid w:val="007314C1"/>
    <w:rsid w:val="007351CF"/>
    <w:rsid w:val="00736E69"/>
    <w:rsid w:val="00775DCB"/>
    <w:rsid w:val="00787F94"/>
    <w:rsid w:val="00791F3F"/>
    <w:rsid w:val="007A3329"/>
    <w:rsid w:val="007B5A52"/>
    <w:rsid w:val="007B7247"/>
    <w:rsid w:val="007D360E"/>
    <w:rsid w:val="007F0E21"/>
    <w:rsid w:val="007F3E3D"/>
    <w:rsid w:val="00807939"/>
    <w:rsid w:val="00841E7D"/>
    <w:rsid w:val="00856237"/>
    <w:rsid w:val="0086445F"/>
    <w:rsid w:val="00872992"/>
    <w:rsid w:val="008807F3"/>
    <w:rsid w:val="00880D20"/>
    <w:rsid w:val="00892638"/>
    <w:rsid w:val="008B49C3"/>
    <w:rsid w:val="008C0401"/>
    <w:rsid w:val="008C336F"/>
    <w:rsid w:val="008E3D95"/>
    <w:rsid w:val="008F5876"/>
    <w:rsid w:val="009023A2"/>
    <w:rsid w:val="00907B8C"/>
    <w:rsid w:val="009110E9"/>
    <w:rsid w:val="009334F4"/>
    <w:rsid w:val="00940BE1"/>
    <w:rsid w:val="00950E0F"/>
    <w:rsid w:val="00953B0B"/>
    <w:rsid w:val="009574EC"/>
    <w:rsid w:val="00971756"/>
    <w:rsid w:val="009719C5"/>
    <w:rsid w:val="00983020"/>
    <w:rsid w:val="009A7D77"/>
    <w:rsid w:val="009C124B"/>
    <w:rsid w:val="009D01B7"/>
    <w:rsid w:val="009D6D22"/>
    <w:rsid w:val="009E6C7F"/>
    <w:rsid w:val="009F0AE6"/>
    <w:rsid w:val="00A01AF3"/>
    <w:rsid w:val="00A02178"/>
    <w:rsid w:val="00A05D88"/>
    <w:rsid w:val="00A23A72"/>
    <w:rsid w:val="00A249A1"/>
    <w:rsid w:val="00A307B3"/>
    <w:rsid w:val="00A35A41"/>
    <w:rsid w:val="00A7293B"/>
    <w:rsid w:val="00A809C5"/>
    <w:rsid w:val="00A946F5"/>
    <w:rsid w:val="00AB7277"/>
    <w:rsid w:val="00AC2B5B"/>
    <w:rsid w:val="00AD3A1D"/>
    <w:rsid w:val="00AE6208"/>
    <w:rsid w:val="00AF02EC"/>
    <w:rsid w:val="00B1469E"/>
    <w:rsid w:val="00B20CF0"/>
    <w:rsid w:val="00B3668D"/>
    <w:rsid w:val="00B46C72"/>
    <w:rsid w:val="00B6668E"/>
    <w:rsid w:val="00B76BA1"/>
    <w:rsid w:val="00B95502"/>
    <w:rsid w:val="00B95AA9"/>
    <w:rsid w:val="00BB020C"/>
    <w:rsid w:val="00BB4175"/>
    <w:rsid w:val="00BB4A0E"/>
    <w:rsid w:val="00BC2C7B"/>
    <w:rsid w:val="00BD086D"/>
    <w:rsid w:val="00BE0201"/>
    <w:rsid w:val="00BE1327"/>
    <w:rsid w:val="00BE4522"/>
    <w:rsid w:val="00BF511D"/>
    <w:rsid w:val="00C03533"/>
    <w:rsid w:val="00C11E91"/>
    <w:rsid w:val="00C2230C"/>
    <w:rsid w:val="00C42978"/>
    <w:rsid w:val="00C5479D"/>
    <w:rsid w:val="00C560FE"/>
    <w:rsid w:val="00C575B5"/>
    <w:rsid w:val="00C60C8F"/>
    <w:rsid w:val="00C62D15"/>
    <w:rsid w:val="00C631DA"/>
    <w:rsid w:val="00C81AAA"/>
    <w:rsid w:val="00C97D2B"/>
    <w:rsid w:val="00CA3342"/>
    <w:rsid w:val="00CF5F73"/>
    <w:rsid w:val="00D208B6"/>
    <w:rsid w:val="00D22CA6"/>
    <w:rsid w:val="00D451C1"/>
    <w:rsid w:val="00D53E6B"/>
    <w:rsid w:val="00D67854"/>
    <w:rsid w:val="00DA4844"/>
    <w:rsid w:val="00DB572C"/>
    <w:rsid w:val="00DE4845"/>
    <w:rsid w:val="00DF4B42"/>
    <w:rsid w:val="00E0149F"/>
    <w:rsid w:val="00E04C87"/>
    <w:rsid w:val="00E1085F"/>
    <w:rsid w:val="00E14882"/>
    <w:rsid w:val="00E254E5"/>
    <w:rsid w:val="00E5043C"/>
    <w:rsid w:val="00E57ECE"/>
    <w:rsid w:val="00E640DB"/>
    <w:rsid w:val="00E64DBA"/>
    <w:rsid w:val="00E7466D"/>
    <w:rsid w:val="00E9631A"/>
    <w:rsid w:val="00EA3DC1"/>
    <w:rsid w:val="00EB65CD"/>
    <w:rsid w:val="00ED0D67"/>
    <w:rsid w:val="00EF1AA2"/>
    <w:rsid w:val="00F02EDE"/>
    <w:rsid w:val="00F11115"/>
    <w:rsid w:val="00F26169"/>
    <w:rsid w:val="00F516BA"/>
    <w:rsid w:val="00F75BB5"/>
    <w:rsid w:val="00F82978"/>
    <w:rsid w:val="00F82AC9"/>
    <w:rsid w:val="00F82C8D"/>
    <w:rsid w:val="00FA54E0"/>
    <w:rsid w:val="00FD3102"/>
    <w:rsid w:val="00FE17C8"/>
    <w:rsid w:val="00FF2F61"/>
    <w:rsid w:val="00FF6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CA67"/>
  <w15:docId w15:val="{2D183F27-6BF9-457C-BDB3-7F4E8B20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ind w:left="720"/>
      <w:contextualSpacing/>
    </w:pPr>
  </w:style>
  <w:style w:type="character" w:customStyle="1" w:styleId="apple-style-span">
    <w:name w:val="apple-style-span"/>
    <w:basedOn w:val="DefaultParagraphFont"/>
  </w:style>
  <w:style w:type="paragraph" w:styleId="BodyText">
    <w:name w:val="Body Text"/>
    <w:basedOn w:val="Normal"/>
    <w:semiHidden/>
    <w:rPr>
      <w:rFonts w:ascii="Georgia" w:hAnsi="Georgia" w:cs="Arial"/>
      <w:sz w:val="22"/>
      <w:szCs w:val="22"/>
    </w:rPr>
  </w:style>
  <w:style w:type="paragraph" w:styleId="BalloonText">
    <w:name w:val="Balloon Text"/>
    <w:basedOn w:val="Normal"/>
    <w:link w:val="BalloonTextChar"/>
    <w:uiPriority w:val="99"/>
    <w:semiHidden/>
    <w:unhideWhenUsed/>
    <w:rsid w:val="00C81AAA"/>
    <w:rPr>
      <w:rFonts w:ascii="Tahoma" w:hAnsi="Tahoma" w:cs="Tahoma"/>
      <w:sz w:val="16"/>
      <w:szCs w:val="16"/>
    </w:rPr>
  </w:style>
  <w:style w:type="character" w:customStyle="1" w:styleId="BalloonTextChar">
    <w:name w:val="Balloon Text Char"/>
    <w:link w:val="BalloonText"/>
    <w:uiPriority w:val="99"/>
    <w:semiHidden/>
    <w:rsid w:val="00C81AAA"/>
    <w:rPr>
      <w:rFonts w:ascii="Tahoma" w:hAnsi="Tahoma" w:cs="Tahoma"/>
      <w:sz w:val="16"/>
      <w:szCs w:val="16"/>
    </w:rPr>
  </w:style>
  <w:style w:type="paragraph" w:styleId="NormalWeb">
    <w:name w:val="Normal (Web)"/>
    <w:basedOn w:val="Normal"/>
    <w:uiPriority w:val="99"/>
    <w:unhideWhenUsed/>
    <w:rsid w:val="00D451C1"/>
    <w:pPr>
      <w:spacing w:before="100" w:beforeAutospacing="1" w:after="100" w:afterAutospacing="1"/>
    </w:pPr>
    <w:rPr>
      <w:rFonts w:eastAsia="Times New Roman"/>
    </w:rPr>
  </w:style>
  <w:style w:type="character" w:customStyle="1" w:styleId="apple-converted-space">
    <w:name w:val="apple-converted-space"/>
    <w:basedOn w:val="DefaultParagraphFont"/>
    <w:rsid w:val="00D45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9310">
      <w:bodyDiv w:val="1"/>
      <w:marLeft w:val="0"/>
      <w:marRight w:val="0"/>
      <w:marTop w:val="0"/>
      <w:marBottom w:val="0"/>
      <w:divBdr>
        <w:top w:val="none" w:sz="0" w:space="0" w:color="auto"/>
        <w:left w:val="none" w:sz="0" w:space="0" w:color="auto"/>
        <w:bottom w:val="none" w:sz="0" w:space="0" w:color="auto"/>
        <w:right w:val="none" w:sz="0" w:space="0" w:color="auto"/>
      </w:divBdr>
    </w:div>
    <w:div w:id="527378572">
      <w:bodyDiv w:val="1"/>
      <w:marLeft w:val="0"/>
      <w:marRight w:val="0"/>
      <w:marTop w:val="0"/>
      <w:marBottom w:val="0"/>
      <w:divBdr>
        <w:top w:val="none" w:sz="0" w:space="0" w:color="auto"/>
        <w:left w:val="none" w:sz="0" w:space="0" w:color="auto"/>
        <w:bottom w:val="none" w:sz="0" w:space="0" w:color="auto"/>
        <w:right w:val="none" w:sz="0" w:space="0" w:color="auto"/>
      </w:divBdr>
    </w:div>
    <w:div w:id="850029219">
      <w:bodyDiv w:val="1"/>
      <w:marLeft w:val="0"/>
      <w:marRight w:val="0"/>
      <w:marTop w:val="0"/>
      <w:marBottom w:val="0"/>
      <w:divBdr>
        <w:top w:val="none" w:sz="0" w:space="0" w:color="auto"/>
        <w:left w:val="none" w:sz="0" w:space="0" w:color="auto"/>
        <w:bottom w:val="none" w:sz="0" w:space="0" w:color="auto"/>
        <w:right w:val="none" w:sz="0" w:space="0" w:color="auto"/>
      </w:divBdr>
    </w:div>
    <w:div w:id="1124422098">
      <w:bodyDiv w:val="1"/>
      <w:marLeft w:val="0"/>
      <w:marRight w:val="0"/>
      <w:marTop w:val="0"/>
      <w:marBottom w:val="0"/>
      <w:divBdr>
        <w:top w:val="none" w:sz="0" w:space="0" w:color="auto"/>
        <w:left w:val="none" w:sz="0" w:space="0" w:color="auto"/>
        <w:bottom w:val="none" w:sz="0" w:space="0" w:color="auto"/>
        <w:right w:val="none" w:sz="0" w:space="0" w:color="auto"/>
      </w:divBdr>
    </w:div>
    <w:div w:id="1316108672">
      <w:bodyDiv w:val="1"/>
      <w:marLeft w:val="0"/>
      <w:marRight w:val="0"/>
      <w:marTop w:val="0"/>
      <w:marBottom w:val="0"/>
      <w:divBdr>
        <w:top w:val="none" w:sz="0" w:space="0" w:color="auto"/>
        <w:left w:val="none" w:sz="0" w:space="0" w:color="auto"/>
        <w:bottom w:val="none" w:sz="0" w:space="0" w:color="auto"/>
        <w:right w:val="none" w:sz="0" w:space="0" w:color="auto"/>
      </w:divBdr>
    </w:div>
    <w:div w:id="1387411632">
      <w:bodyDiv w:val="1"/>
      <w:marLeft w:val="0"/>
      <w:marRight w:val="0"/>
      <w:marTop w:val="0"/>
      <w:marBottom w:val="0"/>
      <w:divBdr>
        <w:top w:val="none" w:sz="0" w:space="0" w:color="auto"/>
        <w:left w:val="none" w:sz="0" w:space="0" w:color="auto"/>
        <w:bottom w:val="none" w:sz="0" w:space="0" w:color="auto"/>
        <w:right w:val="none" w:sz="0" w:space="0" w:color="auto"/>
      </w:divBdr>
      <w:divsChild>
        <w:div w:id="1013840">
          <w:marLeft w:val="0"/>
          <w:marRight w:val="0"/>
          <w:marTop w:val="0"/>
          <w:marBottom w:val="0"/>
          <w:divBdr>
            <w:top w:val="none" w:sz="0" w:space="0" w:color="auto"/>
            <w:left w:val="none" w:sz="0" w:space="0" w:color="auto"/>
            <w:bottom w:val="none" w:sz="0" w:space="0" w:color="auto"/>
            <w:right w:val="none" w:sz="0" w:space="0" w:color="auto"/>
          </w:divBdr>
        </w:div>
        <w:div w:id="981538943">
          <w:marLeft w:val="0"/>
          <w:marRight w:val="0"/>
          <w:marTop w:val="0"/>
          <w:marBottom w:val="0"/>
          <w:divBdr>
            <w:top w:val="none" w:sz="0" w:space="0" w:color="auto"/>
            <w:left w:val="none" w:sz="0" w:space="0" w:color="auto"/>
            <w:bottom w:val="none" w:sz="0" w:space="0" w:color="auto"/>
            <w:right w:val="none" w:sz="0" w:space="0" w:color="auto"/>
          </w:divBdr>
        </w:div>
        <w:div w:id="1018118715">
          <w:marLeft w:val="0"/>
          <w:marRight w:val="0"/>
          <w:marTop w:val="0"/>
          <w:marBottom w:val="0"/>
          <w:divBdr>
            <w:top w:val="none" w:sz="0" w:space="0" w:color="auto"/>
            <w:left w:val="none" w:sz="0" w:space="0" w:color="auto"/>
            <w:bottom w:val="none" w:sz="0" w:space="0" w:color="auto"/>
            <w:right w:val="none" w:sz="0" w:space="0" w:color="auto"/>
          </w:divBdr>
        </w:div>
        <w:div w:id="1542402071">
          <w:marLeft w:val="0"/>
          <w:marRight w:val="0"/>
          <w:marTop w:val="0"/>
          <w:marBottom w:val="0"/>
          <w:divBdr>
            <w:top w:val="none" w:sz="0" w:space="0" w:color="auto"/>
            <w:left w:val="none" w:sz="0" w:space="0" w:color="auto"/>
            <w:bottom w:val="none" w:sz="0" w:space="0" w:color="auto"/>
            <w:right w:val="none" w:sz="0" w:space="0" w:color="auto"/>
          </w:divBdr>
        </w:div>
        <w:div w:id="1586064037">
          <w:marLeft w:val="0"/>
          <w:marRight w:val="0"/>
          <w:marTop w:val="0"/>
          <w:marBottom w:val="0"/>
          <w:divBdr>
            <w:top w:val="none" w:sz="0" w:space="0" w:color="auto"/>
            <w:left w:val="none" w:sz="0" w:space="0" w:color="auto"/>
            <w:bottom w:val="none" w:sz="0" w:space="0" w:color="auto"/>
            <w:right w:val="none" w:sz="0" w:space="0" w:color="auto"/>
          </w:divBdr>
        </w:div>
        <w:div w:id="1595818600">
          <w:marLeft w:val="0"/>
          <w:marRight w:val="0"/>
          <w:marTop w:val="0"/>
          <w:marBottom w:val="0"/>
          <w:divBdr>
            <w:top w:val="none" w:sz="0" w:space="0" w:color="auto"/>
            <w:left w:val="none" w:sz="0" w:space="0" w:color="auto"/>
            <w:bottom w:val="none" w:sz="0" w:space="0" w:color="auto"/>
            <w:right w:val="none" w:sz="0" w:space="0" w:color="auto"/>
          </w:divBdr>
        </w:div>
        <w:div w:id="1877696738">
          <w:marLeft w:val="0"/>
          <w:marRight w:val="0"/>
          <w:marTop w:val="0"/>
          <w:marBottom w:val="0"/>
          <w:divBdr>
            <w:top w:val="none" w:sz="0" w:space="0" w:color="auto"/>
            <w:left w:val="none" w:sz="0" w:space="0" w:color="auto"/>
            <w:bottom w:val="none" w:sz="0" w:space="0" w:color="auto"/>
            <w:right w:val="none" w:sz="0" w:space="0" w:color="auto"/>
          </w:divBdr>
          <w:divsChild>
            <w:div w:id="1453472798">
              <w:marLeft w:val="0"/>
              <w:marRight w:val="0"/>
              <w:marTop w:val="0"/>
              <w:marBottom w:val="0"/>
              <w:divBdr>
                <w:top w:val="none" w:sz="0" w:space="0" w:color="auto"/>
                <w:left w:val="none" w:sz="0" w:space="0" w:color="auto"/>
                <w:bottom w:val="none" w:sz="0" w:space="0" w:color="auto"/>
                <w:right w:val="none" w:sz="0" w:space="0" w:color="auto"/>
              </w:divBdr>
            </w:div>
          </w:divsChild>
        </w:div>
        <w:div w:id="1981618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248A2-6D94-4BAF-B543-60764E323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TRNA</vt:lpstr>
    </vt:vector>
  </TitlesOfParts>
  <Company>Microsoft</Company>
  <LinksUpToDate>false</LinksUpToDate>
  <CharactersWithSpaces>5042</CharactersWithSpaces>
  <SharedDoc>false</SharedDoc>
  <HLinks>
    <vt:vector size="6" baseType="variant">
      <vt:variant>
        <vt:i4>5832813</vt:i4>
      </vt:variant>
      <vt:variant>
        <vt:i4>0</vt:i4>
      </vt:variant>
      <vt:variant>
        <vt:i4>0</vt:i4>
      </vt:variant>
      <vt:variant>
        <vt:i4>5</vt:i4>
      </vt:variant>
      <vt:variant>
        <vt:lpwstr>mailto:bobaustin60@gmail.com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TRNA</dc:title>
  <dc:creator>Family</dc:creator>
  <cp:lastModifiedBy>Duncan Nickless</cp:lastModifiedBy>
  <cp:revision>2</cp:revision>
  <cp:lastPrinted>2018-02-11T13:30:00Z</cp:lastPrinted>
  <dcterms:created xsi:type="dcterms:W3CDTF">2019-03-30T14:13:00Z</dcterms:created>
  <dcterms:modified xsi:type="dcterms:W3CDTF">2019-03-30T14:13:00Z</dcterms:modified>
</cp:coreProperties>
</file>