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0" w:rsidRDefault="00D527D0" w:rsidP="00D527D0">
      <w:pPr>
        <w:jc w:val="center"/>
        <w:rPr>
          <w:b/>
          <w:u w:val="single"/>
        </w:rPr>
      </w:pPr>
      <w:r>
        <w:rPr>
          <w:b/>
          <w:u w:val="single"/>
        </w:rPr>
        <w:t>Cadnam Farm Liaison group meeting</w:t>
      </w:r>
      <w:r w:rsidRPr="00757BF2">
        <w:rPr>
          <w:b/>
        </w:rPr>
        <w:t xml:space="preserve"> </w:t>
      </w:r>
      <w:r w:rsidRPr="00757BF2">
        <w:rPr>
          <w:b/>
        </w:rPr>
        <w:tab/>
      </w:r>
      <w:r w:rsidR="003E5BAA" w:rsidRPr="003E5BAA">
        <w:rPr>
          <w:b/>
          <w:u w:val="single"/>
        </w:rPr>
        <w:t>17</w:t>
      </w:r>
      <w:r w:rsidRPr="003E5BAA">
        <w:rPr>
          <w:b/>
          <w:u w:val="single"/>
        </w:rPr>
        <w:t>/</w:t>
      </w:r>
      <w:r w:rsidR="003E5BAA">
        <w:rPr>
          <w:b/>
          <w:u w:val="single"/>
        </w:rPr>
        <w:t>11</w:t>
      </w:r>
      <w:r>
        <w:rPr>
          <w:b/>
          <w:u w:val="single"/>
        </w:rPr>
        <w:t>/2016</w:t>
      </w:r>
    </w:p>
    <w:p w:rsidR="00D527D0" w:rsidRDefault="00D527D0" w:rsidP="00D527D0">
      <w:pPr>
        <w:jc w:val="center"/>
        <w:rPr>
          <w:sz w:val="56"/>
          <w:szCs w:val="56"/>
        </w:rPr>
      </w:pPr>
      <w:r>
        <w:rPr>
          <w:sz w:val="56"/>
          <w:szCs w:val="56"/>
        </w:rPr>
        <w:t>Notes</w:t>
      </w:r>
    </w:p>
    <w:p w:rsidR="00C43C70" w:rsidRPr="00C43C70" w:rsidRDefault="00C43C70" w:rsidP="00C43C70">
      <w:r w:rsidRPr="00C43C70">
        <w:t xml:space="preserve">Attendees: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2858"/>
      </w:tblGrid>
      <w:tr w:rsidR="00C60FD5" w:rsidRPr="00C43C70" w:rsidTr="00973E2C">
        <w:tc>
          <w:tcPr>
            <w:tcW w:w="2235" w:type="dxa"/>
          </w:tcPr>
          <w:p w:rsidR="00C60FD5" w:rsidRPr="00C43C70" w:rsidRDefault="00C60FD5" w:rsidP="00D527D0">
            <w:pPr>
              <w:rPr>
                <w:b/>
              </w:rPr>
            </w:pPr>
            <w:r w:rsidRPr="00C43C70">
              <w:rPr>
                <w:b/>
              </w:rPr>
              <w:t>Organisation</w:t>
            </w:r>
          </w:p>
        </w:tc>
        <w:tc>
          <w:tcPr>
            <w:tcW w:w="4149" w:type="dxa"/>
          </w:tcPr>
          <w:p w:rsidR="00C60FD5" w:rsidRPr="00C43C70" w:rsidRDefault="00C60FD5" w:rsidP="00D527D0">
            <w:pPr>
              <w:rPr>
                <w:b/>
              </w:rPr>
            </w:pPr>
            <w:r w:rsidRPr="00C43C70">
              <w:rPr>
                <w:b/>
              </w:rPr>
              <w:t>Name</w:t>
            </w:r>
          </w:p>
        </w:tc>
        <w:tc>
          <w:tcPr>
            <w:tcW w:w="2858" w:type="dxa"/>
          </w:tcPr>
          <w:p w:rsidR="00C60FD5" w:rsidRPr="00C43C70" w:rsidRDefault="00C60FD5" w:rsidP="00D527D0">
            <w:pPr>
              <w:rPr>
                <w:b/>
              </w:rPr>
            </w:pPr>
            <w:r w:rsidRPr="00C43C70">
              <w:rPr>
                <w:b/>
              </w:rPr>
              <w:t>Present / apologies</w:t>
            </w:r>
          </w:p>
        </w:tc>
      </w:tr>
      <w:tr w:rsidR="003A4282" w:rsidTr="00973E2C">
        <w:tc>
          <w:tcPr>
            <w:tcW w:w="2235" w:type="dxa"/>
            <w:vMerge w:val="restart"/>
          </w:tcPr>
          <w:p w:rsidR="003A4282" w:rsidRDefault="003A4282" w:rsidP="00D527D0">
            <w:r>
              <w:t>Persimmon Homes</w:t>
            </w:r>
          </w:p>
        </w:tc>
        <w:tc>
          <w:tcPr>
            <w:tcW w:w="4149" w:type="dxa"/>
          </w:tcPr>
          <w:p w:rsidR="003A4282" w:rsidRDefault="003A4282" w:rsidP="00D527D0">
            <w:r>
              <w:t>Karl Endersby – Technical Director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>David Baily – Construction Director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>Paul Coombes – Contracts Manager</w:t>
            </w:r>
          </w:p>
        </w:tc>
        <w:tc>
          <w:tcPr>
            <w:tcW w:w="2858" w:type="dxa"/>
          </w:tcPr>
          <w:p w:rsidR="003A4282" w:rsidRDefault="00973E2C" w:rsidP="00D527D0">
            <w:r>
              <w:t>Apologies</w:t>
            </w:r>
          </w:p>
        </w:tc>
      </w:tr>
      <w:tr w:rsidR="003A4282" w:rsidTr="00973E2C">
        <w:tc>
          <w:tcPr>
            <w:tcW w:w="2235" w:type="dxa"/>
            <w:vMerge w:val="restart"/>
          </w:tcPr>
          <w:p w:rsidR="003A4282" w:rsidRDefault="003A4282" w:rsidP="00D527D0">
            <w:r>
              <w:t>Martin Grant Homes</w:t>
            </w:r>
          </w:p>
        </w:tc>
        <w:tc>
          <w:tcPr>
            <w:tcW w:w="4149" w:type="dxa"/>
          </w:tcPr>
          <w:p w:rsidR="003A4282" w:rsidRDefault="003A4282" w:rsidP="00D527D0">
            <w:r>
              <w:t>Nick Parsons – Senior Technical Manager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>Terry Farmer – Construction Director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>Gordon Parry – Contracts Manager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 w:val="restart"/>
          </w:tcPr>
          <w:p w:rsidR="003A4282" w:rsidRDefault="003A4282" w:rsidP="00D527D0">
            <w:r>
              <w:t>East Hampshire District Council</w:t>
            </w:r>
          </w:p>
        </w:tc>
        <w:tc>
          <w:tcPr>
            <w:tcW w:w="4149" w:type="dxa"/>
          </w:tcPr>
          <w:p w:rsidR="003A4282" w:rsidRDefault="003A4282" w:rsidP="00D527D0">
            <w:r>
              <w:t>Cllr Dean Phillips – Portfolio Holder, Alton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 xml:space="preserve">Cllr David Orme – Ward Cllr, Alton </w:t>
            </w:r>
            <w:proofErr w:type="spellStart"/>
            <w:r>
              <w:t>Wooteys</w:t>
            </w:r>
            <w:proofErr w:type="spellEnd"/>
          </w:p>
        </w:tc>
        <w:tc>
          <w:tcPr>
            <w:tcW w:w="2858" w:type="dxa"/>
          </w:tcPr>
          <w:p w:rsidR="003A4282" w:rsidRDefault="003A4282" w:rsidP="00D527D0">
            <w:r>
              <w:t>Apologies</w:t>
            </w:r>
          </w:p>
        </w:tc>
      </w:tr>
      <w:tr w:rsidR="003A4282" w:rsidTr="00973E2C">
        <w:tc>
          <w:tcPr>
            <w:tcW w:w="2235" w:type="dxa"/>
            <w:vMerge/>
          </w:tcPr>
          <w:p w:rsidR="003A4282" w:rsidRDefault="003A4282" w:rsidP="00D527D0"/>
        </w:tc>
        <w:tc>
          <w:tcPr>
            <w:tcW w:w="4149" w:type="dxa"/>
          </w:tcPr>
          <w:p w:rsidR="003A4282" w:rsidRDefault="003A4282" w:rsidP="00D527D0">
            <w:r>
              <w:t>John Geoghegan – Community Officer</w:t>
            </w:r>
          </w:p>
        </w:tc>
        <w:tc>
          <w:tcPr>
            <w:tcW w:w="2858" w:type="dxa"/>
          </w:tcPr>
          <w:p w:rsidR="003A4282" w:rsidRDefault="003A4282" w:rsidP="00D527D0">
            <w:r>
              <w:sym w:font="Wingdings" w:char="F0FC"/>
            </w:r>
          </w:p>
        </w:tc>
      </w:tr>
      <w:tr w:rsidR="00324AAE" w:rsidTr="00973E2C">
        <w:tc>
          <w:tcPr>
            <w:tcW w:w="2235" w:type="dxa"/>
            <w:vMerge w:val="restart"/>
          </w:tcPr>
          <w:p w:rsidR="00324AAE" w:rsidRDefault="00324AAE" w:rsidP="00D527D0">
            <w:r>
              <w:t>Alton Town Council</w:t>
            </w:r>
          </w:p>
        </w:tc>
        <w:tc>
          <w:tcPr>
            <w:tcW w:w="4149" w:type="dxa"/>
          </w:tcPr>
          <w:p w:rsidR="00324AAE" w:rsidRDefault="00324AAE" w:rsidP="00D527D0">
            <w:r>
              <w:t xml:space="preserve">Cllr Peter Hicks – Leader </w:t>
            </w:r>
          </w:p>
        </w:tc>
        <w:tc>
          <w:tcPr>
            <w:tcW w:w="2858" w:type="dxa"/>
          </w:tcPr>
          <w:p w:rsidR="00324AAE" w:rsidRDefault="00324AAE" w:rsidP="00D527D0">
            <w:r>
              <w:sym w:font="Wingdings" w:char="F0FC"/>
            </w:r>
          </w:p>
        </w:tc>
      </w:tr>
      <w:tr w:rsidR="00324AAE" w:rsidTr="00973E2C">
        <w:tc>
          <w:tcPr>
            <w:tcW w:w="2235" w:type="dxa"/>
            <w:vMerge/>
          </w:tcPr>
          <w:p w:rsidR="00324AAE" w:rsidRDefault="00324AAE" w:rsidP="00D527D0"/>
        </w:tc>
        <w:tc>
          <w:tcPr>
            <w:tcW w:w="4149" w:type="dxa"/>
          </w:tcPr>
          <w:p w:rsidR="00324AAE" w:rsidRDefault="00324AAE" w:rsidP="00D527D0">
            <w:r>
              <w:t xml:space="preserve">Cllr Graham </w:t>
            </w:r>
            <w:proofErr w:type="spellStart"/>
            <w:r>
              <w:t>Titterington</w:t>
            </w:r>
            <w:proofErr w:type="spellEnd"/>
            <w:r>
              <w:t xml:space="preserve"> – Ward Cllr, </w:t>
            </w:r>
            <w:proofErr w:type="spellStart"/>
            <w:r>
              <w:t>Wooteys</w:t>
            </w:r>
            <w:proofErr w:type="spellEnd"/>
            <w:r>
              <w:t xml:space="preserve"> Ward</w:t>
            </w:r>
          </w:p>
        </w:tc>
        <w:tc>
          <w:tcPr>
            <w:tcW w:w="2858" w:type="dxa"/>
          </w:tcPr>
          <w:p w:rsidR="00324AAE" w:rsidRDefault="00973E2C" w:rsidP="00D527D0">
            <w:r>
              <w:sym w:font="Wingdings" w:char="F0FC"/>
            </w:r>
          </w:p>
        </w:tc>
      </w:tr>
      <w:tr w:rsidR="00324AAE" w:rsidTr="00973E2C">
        <w:tc>
          <w:tcPr>
            <w:tcW w:w="2235" w:type="dxa"/>
            <w:vMerge/>
          </w:tcPr>
          <w:p w:rsidR="00324AAE" w:rsidRDefault="00324AAE" w:rsidP="00D527D0"/>
        </w:tc>
        <w:tc>
          <w:tcPr>
            <w:tcW w:w="4149" w:type="dxa"/>
          </w:tcPr>
          <w:p w:rsidR="00324AAE" w:rsidRDefault="00324AAE" w:rsidP="00D527D0">
            <w:r>
              <w:t xml:space="preserve">Cllr Derek Gardner – Ward Cllr, </w:t>
            </w:r>
            <w:proofErr w:type="spellStart"/>
            <w:r>
              <w:t>Wooteys</w:t>
            </w:r>
            <w:proofErr w:type="spellEnd"/>
            <w:r>
              <w:t xml:space="preserve"> Ward</w:t>
            </w:r>
          </w:p>
        </w:tc>
        <w:tc>
          <w:tcPr>
            <w:tcW w:w="2858" w:type="dxa"/>
          </w:tcPr>
          <w:p w:rsidR="00324AAE" w:rsidRDefault="00324AAE" w:rsidP="00D527D0">
            <w:r>
              <w:t>Apologies</w:t>
            </w:r>
          </w:p>
        </w:tc>
      </w:tr>
      <w:tr w:rsidR="00973E2C" w:rsidTr="00973E2C">
        <w:tc>
          <w:tcPr>
            <w:tcW w:w="2235" w:type="dxa"/>
            <w:vMerge w:val="restart"/>
          </w:tcPr>
          <w:p w:rsidR="00973E2C" w:rsidRDefault="00973E2C" w:rsidP="00D527D0">
            <w:r>
              <w:t xml:space="preserve">Alton </w:t>
            </w:r>
            <w:proofErr w:type="spellStart"/>
            <w:r>
              <w:t>Eastbrooke</w:t>
            </w:r>
            <w:proofErr w:type="spellEnd"/>
            <w:r>
              <w:t xml:space="preserve"> &amp; </w:t>
            </w:r>
            <w:proofErr w:type="spellStart"/>
            <w:r>
              <w:t>Wooteys</w:t>
            </w:r>
            <w:proofErr w:type="spellEnd"/>
            <w:r>
              <w:t xml:space="preserve"> Residents Association</w:t>
            </w:r>
          </w:p>
        </w:tc>
        <w:tc>
          <w:tcPr>
            <w:tcW w:w="4149" w:type="dxa"/>
          </w:tcPr>
          <w:p w:rsidR="00973E2C" w:rsidRDefault="00973E2C" w:rsidP="00D527D0">
            <w:r>
              <w:t>John Field – Chairman</w:t>
            </w:r>
          </w:p>
        </w:tc>
        <w:tc>
          <w:tcPr>
            <w:tcW w:w="2858" w:type="dxa"/>
          </w:tcPr>
          <w:p w:rsidR="00973E2C" w:rsidRDefault="00973E2C" w:rsidP="00D527D0">
            <w:r>
              <w:sym w:font="Wingdings" w:char="F0FC"/>
            </w:r>
          </w:p>
        </w:tc>
      </w:tr>
      <w:tr w:rsidR="00973E2C" w:rsidTr="00973E2C">
        <w:tc>
          <w:tcPr>
            <w:tcW w:w="2235" w:type="dxa"/>
            <w:vMerge/>
          </w:tcPr>
          <w:p w:rsidR="00973E2C" w:rsidRDefault="00973E2C" w:rsidP="00D527D0"/>
        </w:tc>
        <w:tc>
          <w:tcPr>
            <w:tcW w:w="4149" w:type="dxa"/>
          </w:tcPr>
          <w:p w:rsidR="00973E2C" w:rsidRDefault="00973E2C" w:rsidP="00651E00">
            <w:r>
              <w:t>Tony Souter – Member</w:t>
            </w:r>
          </w:p>
        </w:tc>
        <w:tc>
          <w:tcPr>
            <w:tcW w:w="2858" w:type="dxa"/>
          </w:tcPr>
          <w:p w:rsidR="00973E2C" w:rsidRDefault="00973E2C" w:rsidP="00651E00">
            <w:r>
              <w:sym w:font="Wingdings" w:char="F0FC"/>
            </w:r>
          </w:p>
        </w:tc>
      </w:tr>
      <w:tr w:rsidR="00973E2C" w:rsidTr="00973E2C">
        <w:tc>
          <w:tcPr>
            <w:tcW w:w="2235" w:type="dxa"/>
          </w:tcPr>
          <w:p w:rsidR="00973E2C" w:rsidRDefault="00973E2C" w:rsidP="00D527D0">
            <w:r>
              <w:t xml:space="preserve">Upper Anstey Lane &amp; Old </w:t>
            </w:r>
            <w:proofErr w:type="spellStart"/>
            <w:r>
              <w:t>Odiham</w:t>
            </w:r>
            <w:proofErr w:type="spellEnd"/>
            <w:r>
              <w:t xml:space="preserve"> Road Residents Association</w:t>
            </w:r>
          </w:p>
        </w:tc>
        <w:tc>
          <w:tcPr>
            <w:tcW w:w="4149" w:type="dxa"/>
          </w:tcPr>
          <w:p w:rsidR="00973E2C" w:rsidRDefault="00973E2C" w:rsidP="00D527D0">
            <w:r>
              <w:t>Sue Bottomley - Member</w:t>
            </w:r>
          </w:p>
        </w:tc>
        <w:tc>
          <w:tcPr>
            <w:tcW w:w="2858" w:type="dxa"/>
          </w:tcPr>
          <w:p w:rsidR="00973E2C" w:rsidRDefault="00973E2C" w:rsidP="00D527D0">
            <w:r>
              <w:sym w:font="Wingdings" w:char="F0FC"/>
            </w:r>
          </w:p>
        </w:tc>
      </w:tr>
    </w:tbl>
    <w:p w:rsidR="00865933" w:rsidRDefault="00865933" w:rsidP="00D527D0"/>
    <w:p w:rsidR="003C5255" w:rsidRPr="00973E2C" w:rsidRDefault="003C5255" w:rsidP="003C5255">
      <w:pPr>
        <w:pStyle w:val="ListParagraph"/>
        <w:numPr>
          <w:ilvl w:val="0"/>
          <w:numId w:val="1"/>
        </w:numPr>
      </w:pPr>
      <w:r w:rsidRPr="003C5255">
        <w:rPr>
          <w:u w:val="single"/>
        </w:rPr>
        <w:t>Introductions</w:t>
      </w:r>
    </w:p>
    <w:p w:rsidR="003C5255" w:rsidRDefault="003C5255" w:rsidP="003C5255">
      <w:pPr>
        <w:ind w:left="360"/>
      </w:pPr>
      <w:r>
        <w:t xml:space="preserve">Members of the meeting introduced themselves. </w:t>
      </w:r>
    </w:p>
    <w:p w:rsidR="003C5255" w:rsidRPr="003C5255" w:rsidRDefault="003C5255" w:rsidP="003C5255">
      <w:pPr>
        <w:pStyle w:val="ListParagraph"/>
        <w:numPr>
          <w:ilvl w:val="0"/>
          <w:numId w:val="1"/>
        </w:numPr>
        <w:rPr>
          <w:u w:val="single"/>
        </w:rPr>
      </w:pPr>
      <w:r w:rsidRPr="003C5255">
        <w:rPr>
          <w:u w:val="single"/>
        </w:rPr>
        <w:t>Purpose and format of meetings</w:t>
      </w:r>
      <w:r w:rsidR="00547E38">
        <w:rPr>
          <w:u w:val="single"/>
        </w:rPr>
        <w:t xml:space="preserve"> </w:t>
      </w:r>
    </w:p>
    <w:p w:rsidR="00C43C70" w:rsidRDefault="00067FF2" w:rsidP="00C43C70">
      <w:pPr>
        <w:ind w:left="360"/>
      </w:pPr>
      <w:r>
        <w:t xml:space="preserve">These meetings were not public meetings although notes from the meetings would be made publically available. </w:t>
      </w:r>
      <w:r w:rsidR="003C5255">
        <w:t xml:space="preserve">These meetings would allow the local community and the developers to communicate, share information, address concerns relating to the implementation of the Cadnam Farm development. This would not be a forum for “going over old ground” and all parties would be proactively engaging for the benefit of the local area. </w:t>
      </w:r>
      <w:r w:rsidR="00CB1786">
        <w:br/>
      </w:r>
      <w:r w:rsidR="00973E2C">
        <w:t>The Terms of Reference had been circulated prior to the meeting</w:t>
      </w:r>
      <w:r w:rsidR="00CB1786">
        <w:t xml:space="preserve">. </w:t>
      </w:r>
    </w:p>
    <w:p w:rsidR="003C5255" w:rsidRDefault="00912D09" w:rsidP="00C43C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Notes from previous meeting and outstanding actions</w:t>
      </w:r>
    </w:p>
    <w:p w:rsidR="002C6564" w:rsidRPr="002C6564" w:rsidRDefault="002C6564" w:rsidP="002C6564">
      <w:pPr>
        <w:ind w:left="360"/>
      </w:pPr>
      <w:r>
        <w:t>The notes from the previous meeting were agreed as a true record.</w:t>
      </w:r>
    </w:p>
    <w:p w:rsidR="00912D09" w:rsidRPr="00912D09" w:rsidRDefault="00E46B4A" w:rsidP="005E18E2">
      <w:pPr>
        <w:ind w:left="360"/>
      </w:pPr>
      <w:r>
        <w:rPr>
          <w:b/>
        </w:rPr>
        <w:t>Action: MGH to investigate alternative routes for construction traffic</w:t>
      </w:r>
      <w:r w:rsidR="000812AD">
        <w:rPr>
          <w:b/>
        </w:rPr>
        <w:t>.</w:t>
      </w:r>
      <w:r w:rsidR="00912D09">
        <w:rPr>
          <w:b/>
        </w:rPr>
        <w:br/>
      </w:r>
      <w:r w:rsidR="00912D09">
        <w:t xml:space="preserve">Update: </w:t>
      </w:r>
      <w:r w:rsidR="00E76B60">
        <w:t>Other routes have been looked at, but each would mean a 4-5 mile detour for delivery vehicles</w:t>
      </w:r>
      <w:r w:rsidR="00AF5ED2">
        <w:t xml:space="preserve">. It’s unlikely that these routes would be taken. </w:t>
      </w:r>
    </w:p>
    <w:p w:rsidR="00AF5ED2" w:rsidRPr="002C6564" w:rsidRDefault="00912D09" w:rsidP="002C6564">
      <w:pPr>
        <w:ind w:left="360"/>
        <w:rPr>
          <w:b/>
        </w:rPr>
      </w:pPr>
      <w:r>
        <w:rPr>
          <w:b/>
        </w:rPr>
        <w:lastRenderedPageBreak/>
        <w:t xml:space="preserve">Action: </w:t>
      </w:r>
      <w:r w:rsidRPr="00D454A1">
        <w:rPr>
          <w:b/>
        </w:rPr>
        <w:t>Persimmon / MGH to progress</w:t>
      </w:r>
      <w:r w:rsidR="00AF5ED2">
        <w:rPr>
          <w:b/>
        </w:rPr>
        <w:t xml:space="preserve"> the idea of a naming competition</w:t>
      </w:r>
      <w:r w:rsidRPr="00D454A1">
        <w:rPr>
          <w:b/>
        </w:rPr>
        <w:t xml:space="preserve"> with their sales teams.</w:t>
      </w:r>
      <w:r w:rsidR="002C6564">
        <w:rPr>
          <w:b/>
        </w:rPr>
        <w:br/>
      </w:r>
      <w:r w:rsidR="00AF5ED2">
        <w:t>Update: The Sales Directors from Persimmon and MGH would be meeting on Thursday and would discuss this.</w:t>
      </w:r>
    </w:p>
    <w:p w:rsidR="00AF5ED2" w:rsidRPr="00AF5ED2" w:rsidRDefault="00912D09" w:rsidP="00AF5ED2">
      <w:pPr>
        <w:ind w:left="360"/>
      </w:pPr>
      <w:r>
        <w:rPr>
          <w:b/>
        </w:rPr>
        <w:t>Action: John Field to invite Persimmon to an upcoming AEWRA meeting.</w:t>
      </w:r>
      <w:r w:rsidR="00AF5ED2">
        <w:rPr>
          <w:b/>
        </w:rPr>
        <w:br/>
      </w:r>
      <w:r w:rsidR="00AF5ED2">
        <w:t xml:space="preserve">Update: The last two meetings have been cancelled but an invite would be extended to the meeting in December. </w:t>
      </w:r>
    </w:p>
    <w:p w:rsidR="00394F8A" w:rsidRDefault="00912D09" w:rsidP="00394F8A">
      <w:pPr>
        <w:ind w:left="360"/>
      </w:pPr>
      <w:r>
        <w:rPr>
          <w:b/>
        </w:rPr>
        <w:t xml:space="preserve">Action: </w:t>
      </w:r>
      <w:r w:rsidR="00FB02F9">
        <w:rPr>
          <w:b/>
        </w:rPr>
        <w:t>Persimmon to investigate issues with the grips becoming silted</w:t>
      </w:r>
      <w:r>
        <w:rPr>
          <w:b/>
        </w:rPr>
        <w:t>.</w:t>
      </w:r>
      <w:r>
        <w:rPr>
          <w:b/>
        </w:rPr>
        <w:br/>
      </w:r>
      <w:r w:rsidR="00FB02F9">
        <w:t xml:space="preserve">Update: This would be ongoing until the management company took on responsibility for maintenance in the long-term. </w:t>
      </w:r>
    </w:p>
    <w:p w:rsidR="00394F8A" w:rsidRPr="00394F8A" w:rsidRDefault="00394F8A" w:rsidP="00394F8A">
      <w:pPr>
        <w:pStyle w:val="ListParagraph"/>
        <w:numPr>
          <w:ilvl w:val="0"/>
          <w:numId w:val="1"/>
        </w:numPr>
      </w:pPr>
      <w:r>
        <w:rPr>
          <w:u w:val="single"/>
        </w:rPr>
        <w:t>Update on development</w:t>
      </w:r>
    </w:p>
    <w:p w:rsidR="0047498A" w:rsidRDefault="00394F8A" w:rsidP="006E2668">
      <w:pPr>
        <w:ind w:left="360"/>
      </w:pPr>
      <w:r>
        <w:t xml:space="preserve">Works still had not started on site. </w:t>
      </w:r>
      <w:r w:rsidR="00496851">
        <w:t>The developers were still in discussion with Hampshire County Council about the Section 278 Highways Imp</w:t>
      </w:r>
      <w:r w:rsidR="00F85ABE">
        <w:t>rovements at Upper Anstey Lane.</w:t>
      </w:r>
      <w:r w:rsidR="00BC5069">
        <w:t xml:space="preserve"> </w:t>
      </w:r>
      <w:r w:rsidR="00564B1A">
        <w:t xml:space="preserve">There would be some preparatory work taking place on site before Christmas, including setting up the site compound, preparing the services coming in to the </w:t>
      </w:r>
      <w:r w:rsidR="00B4324D">
        <w:t>top of the site. It is anticipated that works would st</w:t>
      </w:r>
      <w:r w:rsidR="00A31C05">
        <w:t xml:space="preserve">art in earnest in the </w:t>
      </w:r>
      <w:r w:rsidR="00BF6422">
        <w:t>New Year</w:t>
      </w:r>
      <w:r w:rsidR="00A31C05">
        <w:t>.</w:t>
      </w:r>
      <w:r w:rsidR="004E2B6B">
        <w:br/>
        <w:t xml:space="preserve">The disabled parking bays at the bottom of Gilbert White Way would be relocated to a position where they would not be affected by vehicles accessing the site. The manager of the social housing complex </w:t>
      </w:r>
      <w:r w:rsidR="00554C23">
        <w:t>served by t</w:t>
      </w:r>
      <w:r w:rsidR="004E2B6B">
        <w:t xml:space="preserve">he bays was happy with the arrangement. </w:t>
      </w:r>
      <w:r w:rsidR="00960266">
        <w:t xml:space="preserve">The long-term positioning of these spaces was uncertain but could be decided further down the line. </w:t>
      </w:r>
      <w:r w:rsidR="006E2668">
        <w:br/>
        <w:t xml:space="preserve">Hedge clearance is currently being done under licence from Natural England. More clearance and some planting would commence in the </w:t>
      </w:r>
      <w:r w:rsidR="00BF6422">
        <w:t>New Year</w:t>
      </w:r>
      <w:r w:rsidR="006E2668">
        <w:t xml:space="preserve"> around the </w:t>
      </w:r>
      <w:r w:rsidR="00C4191F">
        <w:t xml:space="preserve">site </w:t>
      </w:r>
      <w:r w:rsidR="006E2668">
        <w:t xml:space="preserve">boundaries. </w:t>
      </w:r>
      <w:r w:rsidR="000D4949">
        <w:br/>
        <w:t>A temporary access point to the site had been granted for the show home, this has been marked up on the highway.</w:t>
      </w:r>
      <w:r w:rsidR="007A587D">
        <w:br/>
        <w:t xml:space="preserve">The consultation on the closure of Upper Anstey Lane had been undertaken, though the closure itself had not been formalised. </w:t>
      </w:r>
      <w:r w:rsidR="00CC049F">
        <w:t xml:space="preserve">Work would be commencing soon to clear out hedges to create the turning heads </w:t>
      </w:r>
      <w:r w:rsidR="00EF68DA">
        <w:t xml:space="preserve">for vehicles needing to turn. </w:t>
      </w:r>
      <w:r w:rsidR="00A5383F">
        <w:t>There would be a temporary closure of Upper Anstey Lane d</w:t>
      </w:r>
      <w:r w:rsidR="001A1F79">
        <w:t>uring the construction</w:t>
      </w:r>
      <w:r w:rsidR="00AA79EC">
        <w:t xml:space="preserve"> </w:t>
      </w:r>
      <w:r w:rsidR="0047498A">
        <w:t>phase</w:t>
      </w:r>
      <w:r w:rsidR="00F85A09">
        <w:t xml:space="preserve"> and a permanent closure further down the line which the developers would need to apply to Hampshire County Council for. </w:t>
      </w:r>
      <w:r w:rsidR="000B5773">
        <w:t>Appropriate signage and fencing should help to stop vehicles using this road in error, and it was remarked that the signage should be</w:t>
      </w:r>
      <w:r w:rsidR="00CE7B71">
        <w:t xml:space="preserve"> appropriately lit and visible. </w:t>
      </w:r>
    </w:p>
    <w:p w:rsidR="0047498A" w:rsidRDefault="00D16AF8" w:rsidP="0047498A">
      <w:pPr>
        <w:pStyle w:val="ListParagraph"/>
        <w:numPr>
          <w:ilvl w:val="0"/>
          <w:numId w:val="1"/>
        </w:numPr>
      </w:pPr>
      <w:r w:rsidRPr="0047498A">
        <w:rPr>
          <w:u w:val="single"/>
        </w:rPr>
        <w:t>Questions/concerns from the community</w:t>
      </w:r>
    </w:p>
    <w:p w:rsidR="002231EE" w:rsidRDefault="002231EE" w:rsidP="002231EE">
      <w:pPr>
        <w:ind w:left="360"/>
      </w:pPr>
      <w:r>
        <w:t>Following questions from the community, the f</w:t>
      </w:r>
      <w:r w:rsidR="0004141C">
        <w:t>ollowing points were discussed:</w:t>
      </w:r>
    </w:p>
    <w:p w:rsidR="002231EE" w:rsidRPr="002231EE" w:rsidRDefault="00CC037D" w:rsidP="002231EE">
      <w:pPr>
        <w:pStyle w:val="ListParagraph"/>
        <w:numPr>
          <w:ilvl w:val="0"/>
          <w:numId w:val="7"/>
        </w:numPr>
      </w:pPr>
      <w:r>
        <w:t>Regarding the Anstey Road/Anstey Lane junction, Hampshire County Council had determined that a signalised system would be best. The work would be carried out by the County Council, using contributions from MGH &amp; Persimmon</w:t>
      </w:r>
      <w:r w:rsidR="002F1F9C">
        <w:t>.</w:t>
      </w:r>
      <w:r w:rsidR="00435592">
        <w:t xml:space="preserve"> At present there was no indication of when this work may take place. </w:t>
      </w:r>
      <w:r w:rsidR="00435592" w:rsidRPr="002231EE">
        <w:rPr>
          <w:b/>
        </w:rPr>
        <w:t>Action: Cllr Dean Phillips to follow this up with Hampshire Highways</w:t>
      </w:r>
    </w:p>
    <w:p w:rsidR="002231EE" w:rsidRDefault="002231EE" w:rsidP="002231EE">
      <w:pPr>
        <w:pStyle w:val="ListParagraph"/>
        <w:numPr>
          <w:ilvl w:val="0"/>
          <w:numId w:val="7"/>
        </w:numPr>
      </w:pPr>
      <w:r>
        <w:t>Section 106 payments were due in thirds: 1/3</w:t>
      </w:r>
      <w:r w:rsidRPr="002231EE">
        <w:rPr>
          <w:vertAlign w:val="superscript"/>
        </w:rPr>
        <w:t>rd</w:t>
      </w:r>
      <w:r>
        <w:t xml:space="preserve"> due on the occupation of the first dwelling, 1/3</w:t>
      </w:r>
      <w:r w:rsidRPr="002231EE">
        <w:rPr>
          <w:vertAlign w:val="superscript"/>
        </w:rPr>
        <w:t>rd</w:t>
      </w:r>
      <w:r>
        <w:t xml:space="preserve"> due on the 100</w:t>
      </w:r>
      <w:r w:rsidRPr="002231EE">
        <w:rPr>
          <w:vertAlign w:val="superscript"/>
        </w:rPr>
        <w:t>th</w:t>
      </w:r>
      <w:r>
        <w:t xml:space="preserve"> occupation and 1/3</w:t>
      </w:r>
      <w:r w:rsidRPr="002231EE">
        <w:rPr>
          <w:vertAlign w:val="superscript"/>
        </w:rPr>
        <w:t>rd</w:t>
      </w:r>
      <w:r>
        <w:t xml:space="preserve"> due on the 150</w:t>
      </w:r>
      <w:r w:rsidRPr="002231EE">
        <w:rPr>
          <w:vertAlign w:val="superscript"/>
        </w:rPr>
        <w:t>th</w:t>
      </w:r>
      <w:r>
        <w:t xml:space="preserve"> occupation.</w:t>
      </w:r>
    </w:p>
    <w:p w:rsidR="0010100F" w:rsidRDefault="002231EE" w:rsidP="002231EE">
      <w:pPr>
        <w:pStyle w:val="ListParagraph"/>
        <w:numPr>
          <w:ilvl w:val="0"/>
          <w:numId w:val="7"/>
        </w:numPr>
      </w:pPr>
      <w:r>
        <w:t>Deliveries would be coming from a mixture</w:t>
      </w:r>
      <w:r w:rsidR="00607070">
        <w:t xml:space="preserve"> of locations, some from local B</w:t>
      </w:r>
      <w:r>
        <w:t>uilder</w:t>
      </w:r>
      <w:r w:rsidR="00607070">
        <w:t>’</w:t>
      </w:r>
      <w:r>
        <w:t>s</w:t>
      </w:r>
      <w:r w:rsidR="00607070">
        <w:t xml:space="preserve"> M</w:t>
      </w:r>
      <w:r>
        <w:t xml:space="preserve">erchants, </w:t>
      </w:r>
      <w:r w:rsidR="00405577">
        <w:t>and some</w:t>
      </w:r>
      <w:r w:rsidR="006819C9">
        <w:t xml:space="preserve"> from national distributors.</w:t>
      </w:r>
    </w:p>
    <w:p w:rsidR="00824471" w:rsidRDefault="00824471" w:rsidP="002231EE">
      <w:pPr>
        <w:pStyle w:val="ListParagraph"/>
        <w:numPr>
          <w:ilvl w:val="0"/>
          <w:numId w:val="7"/>
        </w:numPr>
      </w:pPr>
      <w:r>
        <w:lastRenderedPageBreak/>
        <w:t xml:space="preserve">It was unclear when work would start at the old sports ground (Miller Homes) but clear signage would be </w:t>
      </w:r>
      <w:r w:rsidR="00405577">
        <w:t>essential,</w:t>
      </w:r>
      <w:r>
        <w:t xml:space="preserve"> as well as monitoring of the delivery times. Once a compound was set up on the Cadnam Farm site, this would help to alleviate pressures from that development on the local area (parking, deliveries, </w:t>
      </w:r>
      <w:proofErr w:type="spellStart"/>
      <w:r>
        <w:t>etc</w:t>
      </w:r>
      <w:proofErr w:type="spellEnd"/>
      <w:r>
        <w:t xml:space="preserve">). </w:t>
      </w:r>
    </w:p>
    <w:p w:rsidR="00D031FA" w:rsidRDefault="00824471" w:rsidP="007C5502">
      <w:pPr>
        <w:pStyle w:val="ListParagraph"/>
        <w:numPr>
          <w:ilvl w:val="0"/>
          <w:numId w:val="7"/>
        </w:numPr>
      </w:pPr>
      <w:r>
        <w:t xml:space="preserve">A site manager would </w:t>
      </w:r>
      <w:r w:rsidR="00405577">
        <w:t>manage</w:t>
      </w:r>
      <w:r>
        <w:t xml:space="preserve"> the arrival of deliveries. The plans which were submitted define that deliveries were to arrive either before 08:00 or after 09:30 so as not to cl</w:t>
      </w:r>
      <w:r w:rsidR="00E64EEE">
        <w:t>ash with school drop-off times.</w:t>
      </w:r>
      <w:r w:rsidR="007C5502">
        <w:t xml:space="preserve"> The Construction Environmental Management Plan can be found on the East Hampshire Planning Portal here: </w:t>
      </w:r>
      <w:hyperlink r:id="rId9" w:history="1">
        <w:r w:rsidR="007C5502" w:rsidRPr="00D96F87">
          <w:rPr>
            <w:rStyle w:val="Hyperlink"/>
          </w:rPr>
          <w:t>https://planningpublicaccess.easthants.gov.uk/online-applications/</w:t>
        </w:r>
      </w:hyperlink>
      <w:r w:rsidR="007C5502">
        <w:t xml:space="preserve"> by searching for application number 55428/001.</w:t>
      </w:r>
      <w:r w:rsidR="00C93D4E">
        <w:t xml:space="preserve"> Any breaches of planning conditions could be </w:t>
      </w:r>
      <w:r w:rsidR="007705B8">
        <w:t>brought up via this forum. Ultimately,</w:t>
      </w:r>
      <w:r w:rsidR="00C93D4E">
        <w:t xml:space="preserve"> East Hampshire</w:t>
      </w:r>
      <w:r w:rsidR="002A1910">
        <w:t xml:space="preserve"> District Council’s P</w:t>
      </w:r>
      <w:r w:rsidR="007705B8">
        <w:t xml:space="preserve">lanning department has the responsibility for planning enforcement. </w:t>
      </w:r>
    </w:p>
    <w:p w:rsidR="00D031FA" w:rsidRDefault="00D031FA" w:rsidP="007C5502">
      <w:pPr>
        <w:pStyle w:val="ListParagraph"/>
        <w:numPr>
          <w:ilvl w:val="0"/>
          <w:numId w:val="7"/>
        </w:numPr>
      </w:pPr>
      <w:r>
        <w:t xml:space="preserve">It was the intention that all site workers would park their vehicles in the on-site compound. </w:t>
      </w:r>
    </w:p>
    <w:p w:rsidR="00717F80" w:rsidRDefault="00D031FA" w:rsidP="007C5502">
      <w:pPr>
        <w:pStyle w:val="ListParagraph"/>
        <w:numPr>
          <w:ilvl w:val="0"/>
          <w:numId w:val="7"/>
        </w:numPr>
      </w:pPr>
      <w:r>
        <w:t xml:space="preserve">The parking facilities for the houses, once constructed, would be 1 space for a 1-bed property, 2 spaces for a 2-bed, 3 spaces for a 3-bed, and 3 spaces for 4-bed and higher. There would also be parking availability for visitors, which would be ample long term. Whilst construction was taking place </w:t>
      </w:r>
      <w:r w:rsidR="00C6231B">
        <w:t xml:space="preserve">there may be some displacement, until all permanent parking </w:t>
      </w:r>
      <w:r w:rsidR="004E72E7">
        <w:t>areas</w:t>
      </w:r>
      <w:r w:rsidR="00C6231B">
        <w:t xml:space="preserve"> were available to residents. </w:t>
      </w:r>
    </w:p>
    <w:p w:rsidR="00C04992" w:rsidRDefault="00717F80" w:rsidP="007C5502">
      <w:pPr>
        <w:pStyle w:val="ListParagraph"/>
        <w:numPr>
          <w:ilvl w:val="0"/>
          <w:numId w:val="7"/>
        </w:numPr>
      </w:pPr>
      <w:r>
        <w:t>The scheme is scheduled to finish by the end of 2019</w:t>
      </w:r>
      <w:r w:rsidR="00C04992">
        <w:t>.</w:t>
      </w:r>
    </w:p>
    <w:p w:rsidR="00B61111" w:rsidRDefault="00B61111" w:rsidP="00B61111">
      <w:pPr>
        <w:pStyle w:val="ListParagraph"/>
        <w:numPr>
          <w:ilvl w:val="0"/>
          <w:numId w:val="7"/>
        </w:numPr>
      </w:pPr>
      <w:r>
        <w:t>Water pressure was a consideration for the Water Authority, which was South East Water in this area</w:t>
      </w:r>
      <w:r w:rsidR="00A1258A">
        <w:t>. The developers would pay a water infrastructure charge towards network improvements needed as a result of the development.</w:t>
      </w:r>
    </w:p>
    <w:p w:rsidR="00A372DB" w:rsidRDefault="00153C9F" w:rsidP="00B61111">
      <w:pPr>
        <w:pStyle w:val="ListParagraph"/>
        <w:numPr>
          <w:ilvl w:val="0"/>
          <w:numId w:val="7"/>
        </w:numPr>
      </w:pPr>
      <w:r>
        <w:t xml:space="preserve">For drainage and flooding, systems were being put in place which take water from the surface down into the ground </w:t>
      </w:r>
      <w:r w:rsidR="00A372DB">
        <w:t>via a positive drainage system.</w:t>
      </w:r>
    </w:p>
    <w:p w:rsidR="00A372DB" w:rsidRDefault="00A372DB" w:rsidP="00B61111">
      <w:pPr>
        <w:pStyle w:val="ListParagraph"/>
        <w:numPr>
          <w:ilvl w:val="0"/>
          <w:numId w:val="7"/>
        </w:numPr>
      </w:pPr>
      <w:r>
        <w:t>The landscaping on the site would include a swathe of open greenspace at the top of the development.</w:t>
      </w:r>
    </w:p>
    <w:p w:rsidR="0026097D" w:rsidRDefault="00127FD6" w:rsidP="00B61111">
      <w:pPr>
        <w:pStyle w:val="ListParagraph"/>
        <w:numPr>
          <w:ilvl w:val="0"/>
          <w:numId w:val="7"/>
        </w:numPr>
      </w:pPr>
      <w:r>
        <w:t>Local f</w:t>
      </w:r>
      <w:r w:rsidR="00AD0A7D">
        <w:t>ootpath access would remain unaffected</w:t>
      </w:r>
      <w:r>
        <w:t xml:space="preserve"> b</w:t>
      </w:r>
      <w:r w:rsidR="00E04F94">
        <w:t>y the development.</w:t>
      </w:r>
    </w:p>
    <w:p w:rsidR="00233DF8" w:rsidRDefault="0026097D" w:rsidP="00233DF8">
      <w:pPr>
        <w:pStyle w:val="ListParagraph"/>
        <w:numPr>
          <w:ilvl w:val="0"/>
          <w:numId w:val="7"/>
        </w:numPr>
      </w:pPr>
      <w:r>
        <w:t>The removal of condition 12 had caused a stir amongst the community. This was the condition attached to the planning permission which had required homes to be built to the Lifetime Homes standards. This was no longer a</w:t>
      </w:r>
      <w:r w:rsidR="008241AE">
        <w:t>n</w:t>
      </w:r>
      <w:r>
        <w:t xml:space="preserve"> </w:t>
      </w:r>
      <w:r w:rsidR="008241AE">
        <w:t xml:space="preserve">enforceable </w:t>
      </w:r>
      <w:r>
        <w:t xml:space="preserve">requirement, based on a recent Government decision. Abiding by this condition would have made the development impracticable, and EHDC Planning department had agreed to remove the condition. </w:t>
      </w:r>
      <w:r w:rsidR="00233DF8">
        <w:t>It was anticipated that this would be prominent in the next edition of the Alton Herald, though the developers had not been approached about the story.</w:t>
      </w:r>
      <w:r w:rsidR="00233DF8">
        <w:br/>
      </w:r>
      <w:bookmarkStart w:id="0" w:name="_GoBack"/>
      <w:bookmarkEnd w:id="0"/>
    </w:p>
    <w:p w:rsidR="00233DF8" w:rsidRPr="00233DF8" w:rsidRDefault="00233DF8" w:rsidP="00233DF8">
      <w:pPr>
        <w:pStyle w:val="ListParagraph"/>
        <w:numPr>
          <w:ilvl w:val="0"/>
          <w:numId w:val="1"/>
        </w:numPr>
        <w:rPr>
          <w:u w:val="single"/>
        </w:rPr>
      </w:pPr>
      <w:r w:rsidRPr="00233DF8">
        <w:rPr>
          <w:u w:val="single"/>
        </w:rPr>
        <w:t>Any other business</w:t>
      </w:r>
      <w:r>
        <w:rPr>
          <w:u w:val="single"/>
        </w:rPr>
        <w:br/>
      </w:r>
      <w:r>
        <w:rPr>
          <w:u w:val="single"/>
        </w:rPr>
        <w:br/>
      </w:r>
      <w:r>
        <w:t>All items were covered in the discussion above.</w:t>
      </w:r>
      <w:r>
        <w:br/>
      </w:r>
    </w:p>
    <w:p w:rsidR="00ED3629" w:rsidRPr="0004141C" w:rsidRDefault="00233DF8" w:rsidP="00912D0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Date of next meeting</w:t>
      </w:r>
      <w:r>
        <w:rPr>
          <w:u w:val="single"/>
        </w:rPr>
        <w:br/>
      </w:r>
      <w:r>
        <w:rPr>
          <w:u w:val="single"/>
        </w:rPr>
        <w:br/>
      </w:r>
      <w:r>
        <w:t xml:space="preserve">The </w:t>
      </w:r>
      <w:r w:rsidR="0004141C">
        <w:t>next meeting would take place on Wednesday 18</w:t>
      </w:r>
      <w:r w:rsidR="0004141C" w:rsidRPr="0004141C">
        <w:rPr>
          <w:vertAlign w:val="superscript"/>
        </w:rPr>
        <w:t>th</w:t>
      </w:r>
      <w:r w:rsidR="0004141C">
        <w:t xml:space="preserve"> January at 14:30 – venue tbc</w:t>
      </w:r>
      <w:r w:rsidR="00F11814" w:rsidRPr="00233DF8">
        <w:rPr>
          <w:u w:val="single"/>
        </w:rPr>
        <w:br/>
      </w:r>
    </w:p>
    <w:sectPr w:rsidR="00ED3629" w:rsidRPr="0004141C" w:rsidSect="00790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33" w:rsidRDefault="00464633" w:rsidP="00464633">
      <w:pPr>
        <w:spacing w:after="0" w:line="240" w:lineRule="auto"/>
      </w:pPr>
      <w:r>
        <w:separator/>
      </w:r>
    </w:p>
  </w:endnote>
  <w:endnote w:type="continuationSeparator" w:id="0">
    <w:p w:rsidR="00464633" w:rsidRDefault="00464633" w:rsidP="0046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3" w:rsidRDefault="00464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3" w:rsidRDefault="00464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3" w:rsidRDefault="0046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33" w:rsidRDefault="00464633" w:rsidP="00464633">
      <w:pPr>
        <w:spacing w:after="0" w:line="240" w:lineRule="auto"/>
      </w:pPr>
      <w:r>
        <w:separator/>
      </w:r>
    </w:p>
  </w:footnote>
  <w:footnote w:type="continuationSeparator" w:id="0">
    <w:p w:rsidR="00464633" w:rsidRDefault="00464633" w:rsidP="0046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3" w:rsidRDefault="0046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59304"/>
      <w:docPartObj>
        <w:docPartGallery w:val="Watermarks"/>
        <w:docPartUnique/>
      </w:docPartObj>
    </w:sdtPr>
    <w:sdtEndPr/>
    <w:sdtContent>
      <w:p w:rsidR="00464633" w:rsidRDefault="008241A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3" w:rsidRDefault="00464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EF7"/>
    <w:multiLevelType w:val="multilevel"/>
    <w:tmpl w:val="083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B0A5F"/>
    <w:multiLevelType w:val="multilevel"/>
    <w:tmpl w:val="06C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D7810"/>
    <w:multiLevelType w:val="hybridMultilevel"/>
    <w:tmpl w:val="F6468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4FE1"/>
    <w:multiLevelType w:val="multilevel"/>
    <w:tmpl w:val="5D60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F3832"/>
    <w:multiLevelType w:val="hybridMultilevel"/>
    <w:tmpl w:val="4C9C7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F1C13"/>
    <w:multiLevelType w:val="multilevel"/>
    <w:tmpl w:val="5F6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46385"/>
    <w:multiLevelType w:val="multilevel"/>
    <w:tmpl w:val="690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D0"/>
    <w:rsid w:val="0004141C"/>
    <w:rsid w:val="00044340"/>
    <w:rsid w:val="00063110"/>
    <w:rsid w:val="00067FF2"/>
    <w:rsid w:val="00080095"/>
    <w:rsid w:val="000812AD"/>
    <w:rsid w:val="00090BA0"/>
    <w:rsid w:val="000B5773"/>
    <w:rsid w:val="000D4949"/>
    <w:rsid w:val="0010100F"/>
    <w:rsid w:val="00104A5F"/>
    <w:rsid w:val="00127FD6"/>
    <w:rsid w:val="00153C9F"/>
    <w:rsid w:val="0016397C"/>
    <w:rsid w:val="00172A98"/>
    <w:rsid w:val="00195206"/>
    <w:rsid w:val="001A1F79"/>
    <w:rsid w:val="002231EE"/>
    <w:rsid w:val="00230AFC"/>
    <w:rsid w:val="00233DF8"/>
    <w:rsid w:val="002543E0"/>
    <w:rsid w:val="0026097D"/>
    <w:rsid w:val="002A1910"/>
    <w:rsid w:val="002C6564"/>
    <w:rsid w:val="002E3C7C"/>
    <w:rsid w:val="002F1F9C"/>
    <w:rsid w:val="002F5044"/>
    <w:rsid w:val="00324AAE"/>
    <w:rsid w:val="003919EB"/>
    <w:rsid w:val="00394F8A"/>
    <w:rsid w:val="003A4282"/>
    <w:rsid w:val="003C5255"/>
    <w:rsid w:val="003E5BAA"/>
    <w:rsid w:val="00405577"/>
    <w:rsid w:val="00435592"/>
    <w:rsid w:val="00464633"/>
    <w:rsid w:val="0047498A"/>
    <w:rsid w:val="004949EC"/>
    <w:rsid w:val="00496851"/>
    <w:rsid w:val="00496ACC"/>
    <w:rsid w:val="004B1FE2"/>
    <w:rsid w:val="004C6E9D"/>
    <w:rsid w:val="004E2B6B"/>
    <w:rsid w:val="004E4FD8"/>
    <w:rsid w:val="004E59C6"/>
    <w:rsid w:val="004E72E7"/>
    <w:rsid w:val="00547E38"/>
    <w:rsid w:val="00554C23"/>
    <w:rsid w:val="00564B1A"/>
    <w:rsid w:val="00575AF0"/>
    <w:rsid w:val="005C19EF"/>
    <w:rsid w:val="005E18E2"/>
    <w:rsid w:val="00607070"/>
    <w:rsid w:val="00673C29"/>
    <w:rsid w:val="006819C9"/>
    <w:rsid w:val="006D12DE"/>
    <w:rsid w:val="006E2668"/>
    <w:rsid w:val="007060BA"/>
    <w:rsid w:val="00717F80"/>
    <w:rsid w:val="007705B8"/>
    <w:rsid w:val="00781E84"/>
    <w:rsid w:val="00790DF4"/>
    <w:rsid w:val="007A587D"/>
    <w:rsid w:val="007C5502"/>
    <w:rsid w:val="007C61E3"/>
    <w:rsid w:val="008241AE"/>
    <w:rsid w:val="00824471"/>
    <w:rsid w:val="00865933"/>
    <w:rsid w:val="00875A3F"/>
    <w:rsid w:val="008946F9"/>
    <w:rsid w:val="008B2D63"/>
    <w:rsid w:val="008D0418"/>
    <w:rsid w:val="008D5F72"/>
    <w:rsid w:val="008E4FB9"/>
    <w:rsid w:val="0090103B"/>
    <w:rsid w:val="0090166B"/>
    <w:rsid w:val="00912D09"/>
    <w:rsid w:val="00960266"/>
    <w:rsid w:val="0097384C"/>
    <w:rsid w:val="00973E2C"/>
    <w:rsid w:val="00977182"/>
    <w:rsid w:val="00981F9C"/>
    <w:rsid w:val="00992026"/>
    <w:rsid w:val="009D4AEF"/>
    <w:rsid w:val="00A1258A"/>
    <w:rsid w:val="00A31C05"/>
    <w:rsid w:val="00A372DB"/>
    <w:rsid w:val="00A46C1B"/>
    <w:rsid w:val="00A5383F"/>
    <w:rsid w:val="00A836F0"/>
    <w:rsid w:val="00A90CFA"/>
    <w:rsid w:val="00AA79EC"/>
    <w:rsid w:val="00AD0A7D"/>
    <w:rsid w:val="00AD14B0"/>
    <w:rsid w:val="00AF5ED2"/>
    <w:rsid w:val="00B13F3B"/>
    <w:rsid w:val="00B4324D"/>
    <w:rsid w:val="00B61111"/>
    <w:rsid w:val="00BA06D4"/>
    <w:rsid w:val="00BA39AA"/>
    <w:rsid w:val="00BA4215"/>
    <w:rsid w:val="00BC5069"/>
    <w:rsid w:val="00BD45CA"/>
    <w:rsid w:val="00BE5271"/>
    <w:rsid w:val="00BF6422"/>
    <w:rsid w:val="00C03CE1"/>
    <w:rsid w:val="00C04992"/>
    <w:rsid w:val="00C31296"/>
    <w:rsid w:val="00C354CB"/>
    <w:rsid w:val="00C37BCE"/>
    <w:rsid w:val="00C4191F"/>
    <w:rsid w:val="00C43C70"/>
    <w:rsid w:val="00C60FD5"/>
    <w:rsid w:val="00C6231B"/>
    <w:rsid w:val="00C635D2"/>
    <w:rsid w:val="00C727E2"/>
    <w:rsid w:val="00C93D4E"/>
    <w:rsid w:val="00CB1786"/>
    <w:rsid w:val="00CC037D"/>
    <w:rsid w:val="00CC049F"/>
    <w:rsid w:val="00CE7B71"/>
    <w:rsid w:val="00D031FA"/>
    <w:rsid w:val="00D16AF8"/>
    <w:rsid w:val="00D454A1"/>
    <w:rsid w:val="00D527D0"/>
    <w:rsid w:val="00D56F07"/>
    <w:rsid w:val="00D574AE"/>
    <w:rsid w:val="00D744AC"/>
    <w:rsid w:val="00DC7AE8"/>
    <w:rsid w:val="00DF7A7F"/>
    <w:rsid w:val="00E04F94"/>
    <w:rsid w:val="00E46B4A"/>
    <w:rsid w:val="00E64390"/>
    <w:rsid w:val="00E64EEE"/>
    <w:rsid w:val="00E76B60"/>
    <w:rsid w:val="00E77CFE"/>
    <w:rsid w:val="00ED2A95"/>
    <w:rsid w:val="00ED3629"/>
    <w:rsid w:val="00ED712C"/>
    <w:rsid w:val="00EF37FA"/>
    <w:rsid w:val="00EF68DA"/>
    <w:rsid w:val="00F11814"/>
    <w:rsid w:val="00F36D8E"/>
    <w:rsid w:val="00F85A09"/>
    <w:rsid w:val="00F85ABE"/>
    <w:rsid w:val="00FB02F9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33"/>
  </w:style>
  <w:style w:type="paragraph" w:styleId="Footer">
    <w:name w:val="footer"/>
    <w:basedOn w:val="Normal"/>
    <w:link w:val="FooterChar"/>
    <w:uiPriority w:val="99"/>
    <w:unhideWhenUsed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33"/>
  </w:style>
  <w:style w:type="character" w:styleId="Hyperlink">
    <w:name w:val="Hyperlink"/>
    <w:basedOn w:val="DefaultParagraphFont"/>
    <w:uiPriority w:val="99"/>
    <w:unhideWhenUsed/>
    <w:rsid w:val="007C5502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7C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33"/>
  </w:style>
  <w:style w:type="paragraph" w:styleId="Footer">
    <w:name w:val="footer"/>
    <w:basedOn w:val="Normal"/>
    <w:link w:val="FooterChar"/>
    <w:uiPriority w:val="99"/>
    <w:unhideWhenUsed/>
    <w:rsid w:val="0046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33"/>
  </w:style>
  <w:style w:type="character" w:styleId="Hyperlink">
    <w:name w:val="Hyperlink"/>
    <w:basedOn w:val="DefaultParagraphFont"/>
    <w:uiPriority w:val="99"/>
    <w:unhideWhenUsed/>
    <w:rsid w:val="007C5502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7C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nningpublicaccess.easthants.gov.uk/online-applicatio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AA11-1F0B-4DCA-A10A-FDEE5FF5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jgeoghegan</dc:creator>
  <cp:lastModifiedBy>jgeoghegan</cp:lastModifiedBy>
  <cp:revision>134</cp:revision>
  <dcterms:created xsi:type="dcterms:W3CDTF">2016-11-17T09:23:00Z</dcterms:created>
  <dcterms:modified xsi:type="dcterms:W3CDTF">2016-11-22T11:45:00Z</dcterms:modified>
</cp:coreProperties>
</file>