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ECFE6" w14:textId="3AFC1A6A" w:rsidR="00AF468C" w:rsidRPr="0076383D" w:rsidRDefault="00F60F0A" w:rsidP="00F60F0A">
      <w:pPr>
        <w:jc w:val="center"/>
        <w:rPr>
          <w:b/>
          <w:bCs/>
          <w:sz w:val="28"/>
          <w:szCs w:val="28"/>
        </w:rPr>
      </w:pPr>
      <w:r w:rsidRPr="0076383D">
        <w:rPr>
          <w:b/>
          <w:bCs/>
          <w:sz w:val="28"/>
          <w:szCs w:val="28"/>
        </w:rPr>
        <w:t xml:space="preserve">GBC </w:t>
      </w:r>
      <w:r w:rsidR="00A020A7" w:rsidRPr="0076383D">
        <w:rPr>
          <w:b/>
          <w:bCs/>
          <w:sz w:val="28"/>
          <w:szCs w:val="28"/>
        </w:rPr>
        <w:t xml:space="preserve">&amp; Days Field </w:t>
      </w:r>
      <w:r w:rsidRPr="0076383D">
        <w:rPr>
          <w:b/>
          <w:bCs/>
          <w:sz w:val="28"/>
          <w:szCs w:val="28"/>
        </w:rPr>
        <w:t>Options</w:t>
      </w:r>
    </w:p>
    <w:p w14:paraId="748E2414" w14:textId="77777777" w:rsidR="0076383D" w:rsidRPr="002832D0" w:rsidRDefault="0076383D" w:rsidP="00F60F0A">
      <w:pPr>
        <w:jc w:val="center"/>
        <w:rPr>
          <w:b/>
          <w:bCs/>
          <w:sz w:val="24"/>
          <w:szCs w:val="24"/>
        </w:rPr>
      </w:pPr>
    </w:p>
    <w:tbl>
      <w:tblPr>
        <w:tblStyle w:val="TableGrid"/>
        <w:tblW w:w="13182" w:type="dxa"/>
        <w:tblInd w:w="421" w:type="dxa"/>
        <w:tblLook w:val="04A0" w:firstRow="1" w:lastRow="0" w:firstColumn="1" w:lastColumn="0" w:noHBand="0" w:noVBand="1"/>
      </w:tblPr>
      <w:tblGrid>
        <w:gridCol w:w="6237"/>
        <w:gridCol w:w="6945"/>
      </w:tblGrid>
      <w:tr w:rsidR="00E5784A" w:rsidRPr="00E5784A" w14:paraId="3D526ACE" w14:textId="77777777" w:rsidTr="00FA6D20">
        <w:tc>
          <w:tcPr>
            <w:tcW w:w="6237" w:type="dxa"/>
            <w:shd w:val="clear" w:color="auto" w:fill="D5DCE4" w:themeFill="text2" w:themeFillTint="33"/>
          </w:tcPr>
          <w:p w14:paraId="19F950BE" w14:textId="6CD768C3" w:rsidR="00E5784A" w:rsidRPr="00CE4977" w:rsidRDefault="00E5784A" w:rsidP="00E5784A">
            <w:pPr>
              <w:pStyle w:val="ListParagraph"/>
              <w:rPr>
                <w:b/>
                <w:bCs/>
                <w:sz w:val="24"/>
                <w:szCs w:val="24"/>
              </w:rPr>
            </w:pPr>
            <w:r w:rsidRPr="00CE4977">
              <w:rPr>
                <w:b/>
                <w:bCs/>
                <w:sz w:val="24"/>
                <w:szCs w:val="24"/>
              </w:rPr>
              <w:t>Options</w:t>
            </w:r>
          </w:p>
        </w:tc>
        <w:tc>
          <w:tcPr>
            <w:tcW w:w="6945" w:type="dxa"/>
            <w:shd w:val="clear" w:color="auto" w:fill="D5DCE4" w:themeFill="text2" w:themeFillTint="33"/>
          </w:tcPr>
          <w:p w14:paraId="0C9B4FD6" w14:textId="3D0868E5" w:rsidR="00E5784A" w:rsidRPr="00CE4977" w:rsidRDefault="00E5784A" w:rsidP="00E5784A">
            <w:pPr>
              <w:pStyle w:val="ListParagraph"/>
              <w:rPr>
                <w:b/>
                <w:bCs/>
                <w:sz w:val="24"/>
                <w:szCs w:val="24"/>
              </w:rPr>
            </w:pPr>
            <w:r w:rsidRPr="00CE4977">
              <w:rPr>
                <w:b/>
                <w:bCs/>
                <w:sz w:val="24"/>
                <w:szCs w:val="24"/>
              </w:rPr>
              <w:t>Comments</w:t>
            </w:r>
          </w:p>
        </w:tc>
      </w:tr>
      <w:tr w:rsidR="00E5784A" w:rsidRPr="00E5784A" w14:paraId="05B81208" w14:textId="12BE5823" w:rsidTr="00FA6D20">
        <w:tc>
          <w:tcPr>
            <w:tcW w:w="6237" w:type="dxa"/>
          </w:tcPr>
          <w:p w14:paraId="07E2C2B4" w14:textId="747AD91A" w:rsidR="00E5784A" w:rsidRDefault="00E5784A" w:rsidP="00D43392">
            <w:pPr>
              <w:pStyle w:val="ListParagraph"/>
              <w:numPr>
                <w:ilvl w:val="0"/>
                <w:numId w:val="1"/>
              </w:numPr>
              <w:rPr>
                <w:sz w:val="24"/>
                <w:szCs w:val="24"/>
              </w:rPr>
            </w:pPr>
            <w:r w:rsidRPr="00E5784A">
              <w:rPr>
                <w:sz w:val="24"/>
                <w:szCs w:val="24"/>
              </w:rPr>
              <w:t>a. As per outline proposal - a centre for tourism to highlight the environment, plus conference centre, community room hire etc. Like the C.A.T. centre in Wales.</w:t>
            </w:r>
          </w:p>
          <w:p w14:paraId="27E7C105" w14:textId="77777777" w:rsidR="00E5784A" w:rsidRPr="00E5784A" w:rsidRDefault="00E5784A" w:rsidP="00E5784A">
            <w:pPr>
              <w:rPr>
                <w:sz w:val="24"/>
                <w:szCs w:val="24"/>
              </w:rPr>
            </w:pPr>
          </w:p>
          <w:p w14:paraId="39FEF98B" w14:textId="5F90064F" w:rsidR="00E5784A" w:rsidRPr="00E5784A" w:rsidRDefault="00E5784A" w:rsidP="00E5784A">
            <w:pPr>
              <w:pStyle w:val="ListParagraph"/>
              <w:rPr>
                <w:sz w:val="24"/>
                <w:szCs w:val="24"/>
              </w:rPr>
            </w:pPr>
            <w:r w:rsidRPr="00E5784A">
              <w:rPr>
                <w:sz w:val="24"/>
                <w:szCs w:val="24"/>
              </w:rPr>
              <w:t xml:space="preserve">b. Locate a tourist/leisure/hospitality-based enterprise to </w:t>
            </w:r>
            <w:r w:rsidR="00733701">
              <w:rPr>
                <w:sz w:val="24"/>
                <w:szCs w:val="24"/>
              </w:rPr>
              <w:t>take a lease on</w:t>
            </w:r>
            <w:r w:rsidRPr="00E5784A">
              <w:rPr>
                <w:sz w:val="24"/>
                <w:szCs w:val="24"/>
              </w:rPr>
              <w:t xml:space="preserve"> the whole centre</w:t>
            </w:r>
            <w:r w:rsidR="00733701">
              <w:rPr>
                <w:sz w:val="24"/>
                <w:szCs w:val="24"/>
              </w:rPr>
              <w:t>.</w:t>
            </w:r>
          </w:p>
        </w:tc>
        <w:tc>
          <w:tcPr>
            <w:tcW w:w="6945" w:type="dxa"/>
          </w:tcPr>
          <w:p w14:paraId="5AB11FCA" w14:textId="7071D134" w:rsidR="00CE4977" w:rsidRDefault="00E5784A" w:rsidP="00E5784A">
            <w:pPr>
              <w:rPr>
                <w:sz w:val="24"/>
                <w:szCs w:val="24"/>
              </w:rPr>
            </w:pPr>
            <w:r>
              <w:rPr>
                <w:sz w:val="24"/>
                <w:szCs w:val="24"/>
              </w:rPr>
              <w:t xml:space="preserve">1a. </w:t>
            </w:r>
            <w:r w:rsidR="00CE4977">
              <w:rPr>
                <w:sz w:val="24"/>
                <w:szCs w:val="24"/>
              </w:rPr>
              <w:t>Refurbishment Building costs would need to be funded</w:t>
            </w:r>
            <w:r w:rsidR="0076383D">
              <w:rPr>
                <w:sz w:val="24"/>
                <w:szCs w:val="24"/>
              </w:rPr>
              <w:t>: BDC/NCC/LEP??</w:t>
            </w:r>
          </w:p>
          <w:p w14:paraId="0FDEB558" w14:textId="77777777" w:rsidR="00E5784A" w:rsidRDefault="00CE4977" w:rsidP="00E5784A">
            <w:pPr>
              <w:rPr>
                <w:sz w:val="24"/>
                <w:szCs w:val="24"/>
              </w:rPr>
            </w:pPr>
            <w:r>
              <w:rPr>
                <w:sz w:val="24"/>
                <w:szCs w:val="24"/>
              </w:rPr>
              <w:t>Who would manage the centre?</w:t>
            </w:r>
          </w:p>
          <w:p w14:paraId="3B691069" w14:textId="77777777" w:rsidR="00CE4977" w:rsidRDefault="00CE4977" w:rsidP="00E5784A">
            <w:pPr>
              <w:rPr>
                <w:sz w:val="24"/>
                <w:szCs w:val="24"/>
              </w:rPr>
            </w:pPr>
          </w:p>
          <w:p w14:paraId="5659E4BD" w14:textId="77777777" w:rsidR="00CE4977" w:rsidRDefault="00CE4977" w:rsidP="00E5784A">
            <w:pPr>
              <w:rPr>
                <w:sz w:val="24"/>
                <w:szCs w:val="24"/>
              </w:rPr>
            </w:pPr>
          </w:p>
          <w:p w14:paraId="2C54598C" w14:textId="77777777" w:rsidR="00CE4977" w:rsidRDefault="00CE4977" w:rsidP="00E5784A">
            <w:pPr>
              <w:rPr>
                <w:sz w:val="24"/>
                <w:szCs w:val="24"/>
              </w:rPr>
            </w:pPr>
            <w:r>
              <w:rPr>
                <w:sz w:val="24"/>
                <w:szCs w:val="24"/>
              </w:rPr>
              <w:t xml:space="preserve">1b. Could </w:t>
            </w:r>
            <w:r w:rsidR="0076383D">
              <w:rPr>
                <w:sz w:val="24"/>
                <w:szCs w:val="24"/>
              </w:rPr>
              <w:t xml:space="preserve">there </w:t>
            </w:r>
            <w:r>
              <w:rPr>
                <w:sz w:val="24"/>
                <w:szCs w:val="24"/>
              </w:rPr>
              <w:t xml:space="preserve">be possible options not yet </w:t>
            </w:r>
            <w:r w:rsidR="00733701">
              <w:rPr>
                <w:sz w:val="24"/>
                <w:szCs w:val="24"/>
              </w:rPr>
              <w:t>sourced</w:t>
            </w:r>
            <w:r w:rsidR="0076383D">
              <w:rPr>
                <w:sz w:val="24"/>
                <w:szCs w:val="24"/>
              </w:rPr>
              <w:t>? N</w:t>
            </w:r>
            <w:r>
              <w:rPr>
                <w:sz w:val="24"/>
                <w:szCs w:val="24"/>
              </w:rPr>
              <w:t>o one came forward to buy from Breckland in 3 years</w:t>
            </w:r>
            <w:r w:rsidR="0076383D">
              <w:rPr>
                <w:sz w:val="24"/>
                <w:szCs w:val="24"/>
              </w:rPr>
              <w:t xml:space="preserve">. </w:t>
            </w:r>
          </w:p>
          <w:p w14:paraId="2B47F954" w14:textId="2331108B" w:rsidR="0076383D" w:rsidRPr="00E5784A" w:rsidRDefault="0076383D" w:rsidP="00E5784A">
            <w:pPr>
              <w:rPr>
                <w:sz w:val="24"/>
                <w:szCs w:val="24"/>
              </w:rPr>
            </w:pPr>
          </w:p>
        </w:tc>
      </w:tr>
      <w:tr w:rsidR="00E5784A" w:rsidRPr="00E5784A" w14:paraId="0C7E7723" w14:textId="0334D15A" w:rsidTr="00FA6D20">
        <w:tc>
          <w:tcPr>
            <w:tcW w:w="6237" w:type="dxa"/>
            <w:shd w:val="clear" w:color="auto" w:fill="D5DCE4" w:themeFill="text2" w:themeFillTint="33"/>
          </w:tcPr>
          <w:p w14:paraId="7C66BD70" w14:textId="77777777" w:rsidR="00E5784A" w:rsidRPr="00E5784A" w:rsidRDefault="00E5784A" w:rsidP="00D43392">
            <w:pPr>
              <w:pStyle w:val="ListParagraph"/>
              <w:ind w:left="0"/>
              <w:rPr>
                <w:sz w:val="24"/>
                <w:szCs w:val="24"/>
              </w:rPr>
            </w:pPr>
          </w:p>
        </w:tc>
        <w:tc>
          <w:tcPr>
            <w:tcW w:w="6945" w:type="dxa"/>
            <w:shd w:val="clear" w:color="auto" w:fill="D5DCE4" w:themeFill="text2" w:themeFillTint="33"/>
          </w:tcPr>
          <w:p w14:paraId="1C502843" w14:textId="77777777" w:rsidR="00E5784A" w:rsidRPr="00E5784A" w:rsidRDefault="00E5784A" w:rsidP="00D43392">
            <w:pPr>
              <w:pStyle w:val="ListParagraph"/>
              <w:ind w:left="0"/>
              <w:rPr>
                <w:sz w:val="24"/>
                <w:szCs w:val="24"/>
              </w:rPr>
            </w:pPr>
          </w:p>
        </w:tc>
      </w:tr>
      <w:tr w:rsidR="00E5784A" w:rsidRPr="00E5784A" w14:paraId="1391211C" w14:textId="4A255F85" w:rsidTr="00FA6D20">
        <w:tc>
          <w:tcPr>
            <w:tcW w:w="6237" w:type="dxa"/>
          </w:tcPr>
          <w:p w14:paraId="08B4BB31" w14:textId="3D92EDAC" w:rsidR="00E5784A" w:rsidRDefault="00E5784A" w:rsidP="00D43392">
            <w:pPr>
              <w:pStyle w:val="ListParagraph"/>
              <w:numPr>
                <w:ilvl w:val="0"/>
                <w:numId w:val="1"/>
              </w:numPr>
              <w:rPr>
                <w:sz w:val="24"/>
                <w:szCs w:val="24"/>
              </w:rPr>
            </w:pPr>
            <w:r w:rsidRPr="00E5784A">
              <w:rPr>
                <w:sz w:val="24"/>
                <w:szCs w:val="24"/>
              </w:rPr>
              <w:t xml:space="preserve">a. Parkwood Holdings occupy the ground floor as the anchor attraction, the upper 2 floors could be utilised for Sports &amp; Leisure related activities and/or conference facilities. See </w:t>
            </w:r>
            <w:r>
              <w:rPr>
                <w:sz w:val="24"/>
                <w:szCs w:val="24"/>
              </w:rPr>
              <w:t>activity suggestions.</w:t>
            </w:r>
          </w:p>
          <w:p w14:paraId="5C2D878C" w14:textId="77777777" w:rsidR="00E5784A" w:rsidRDefault="00E5784A" w:rsidP="00E5784A">
            <w:pPr>
              <w:pStyle w:val="ListParagraph"/>
              <w:rPr>
                <w:sz w:val="24"/>
                <w:szCs w:val="24"/>
              </w:rPr>
            </w:pPr>
            <w:r w:rsidRPr="00E5784A">
              <w:rPr>
                <w:sz w:val="24"/>
                <w:szCs w:val="24"/>
              </w:rPr>
              <w:t>OR</w:t>
            </w:r>
          </w:p>
          <w:p w14:paraId="72B53C13" w14:textId="08098237" w:rsidR="00E5784A" w:rsidRDefault="00E5784A" w:rsidP="00E5784A">
            <w:pPr>
              <w:pStyle w:val="ListParagraph"/>
              <w:rPr>
                <w:sz w:val="24"/>
                <w:szCs w:val="24"/>
              </w:rPr>
            </w:pPr>
            <w:r w:rsidRPr="00E5784A">
              <w:rPr>
                <w:sz w:val="24"/>
                <w:szCs w:val="24"/>
              </w:rPr>
              <w:t>b. Vertical Division of the building, so that one half has 3 floors all Sports and Leisure related and the other half Town Hall/Museum and conferencing.</w:t>
            </w:r>
          </w:p>
          <w:p w14:paraId="6FD53352" w14:textId="3709420C" w:rsidR="00E5784A" w:rsidRDefault="00E5784A" w:rsidP="00E5784A">
            <w:pPr>
              <w:pStyle w:val="ListParagraph"/>
              <w:rPr>
                <w:sz w:val="24"/>
                <w:szCs w:val="24"/>
              </w:rPr>
            </w:pPr>
            <w:r>
              <w:rPr>
                <w:sz w:val="24"/>
                <w:szCs w:val="24"/>
              </w:rPr>
              <w:t>AND</w:t>
            </w:r>
          </w:p>
          <w:p w14:paraId="6AAD4085" w14:textId="0BCD3994" w:rsidR="00E5784A" w:rsidRPr="00E5784A" w:rsidRDefault="00E5784A" w:rsidP="00E5784A">
            <w:pPr>
              <w:pStyle w:val="ListParagraph"/>
              <w:rPr>
                <w:sz w:val="24"/>
                <w:szCs w:val="24"/>
              </w:rPr>
            </w:pPr>
            <w:r w:rsidRPr="00E5784A">
              <w:rPr>
                <w:sz w:val="24"/>
                <w:szCs w:val="24"/>
              </w:rPr>
              <w:t xml:space="preserve">c. The outside areas could be used for further Sports, Leisure and Wellbeing activities, including using the SP Land. All these activities can be on an ‘as and when’ basis and would be commercially rented, not managed. See </w:t>
            </w:r>
            <w:r>
              <w:rPr>
                <w:sz w:val="24"/>
                <w:szCs w:val="24"/>
              </w:rPr>
              <w:t>activity suggestions.</w:t>
            </w:r>
          </w:p>
        </w:tc>
        <w:tc>
          <w:tcPr>
            <w:tcW w:w="6945" w:type="dxa"/>
          </w:tcPr>
          <w:p w14:paraId="583266A0" w14:textId="54D9AC35" w:rsidR="00E5784A" w:rsidRDefault="00CE4977" w:rsidP="00CE4977">
            <w:pPr>
              <w:rPr>
                <w:sz w:val="24"/>
                <w:szCs w:val="24"/>
              </w:rPr>
            </w:pPr>
            <w:r>
              <w:rPr>
                <w:sz w:val="24"/>
                <w:szCs w:val="24"/>
              </w:rPr>
              <w:t xml:space="preserve">2a. Would Breckland/Parkwood </w:t>
            </w:r>
            <w:r w:rsidR="00733701">
              <w:rPr>
                <w:sz w:val="24"/>
                <w:szCs w:val="24"/>
              </w:rPr>
              <w:t xml:space="preserve">or ANO </w:t>
            </w:r>
            <w:r>
              <w:rPr>
                <w:sz w:val="24"/>
                <w:szCs w:val="24"/>
              </w:rPr>
              <w:t xml:space="preserve">fund this </w:t>
            </w:r>
            <w:r w:rsidR="00A020A7">
              <w:rPr>
                <w:sz w:val="24"/>
                <w:szCs w:val="24"/>
              </w:rPr>
              <w:t>enterprise</w:t>
            </w:r>
            <w:r>
              <w:rPr>
                <w:sz w:val="24"/>
                <w:szCs w:val="24"/>
              </w:rPr>
              <w:t>?</w:t>
            </w:r>
          </w:p>
          <w:p w14:paraId="7F4B80CF" w14:textId="77777777" w:rsidR="00CE4977" w:rsidRDefault="00CE4977" w:rsidP="00CE4977">
            <w:pPr>
              <w:rPr>
                <w:sz w:val="24"/>
                <w:szCs w:val="24"/>
              </w:rPr>
            </w:pPr>
          </w:p>
          <w:p w14:paraId="34CD3914" w14:textId="77777777" w:rsidR="00CE4977" w:rsidRDefault="00CE4977" w:rsidP="00CE4977">
            <w:pPr>
              <w:rPr>
                <w:sz w:val="24"/>
                <w:szCs w:val="24"/>
              </w:rPr>
            </w:pPr>
          </w:p>
          <w:p w14:paraId="45657FD7" w14:textId="77777777" w:rsidR="00CE4977" w:rsidRDefault="00CE4977" w:rsidP="00CE4977">
            <w:pPr>
              <w:rPr>
                <w:sz w:val="24"/>
                <w:szCs w:val="24"/>
              </w:rPr>
            </w:pPr>
          </w:p>
          <w:p w14:paraId="5695A494" w14:textId="77777777" w:rsidR="00CE4977" w:rsidRDefault="00CE4977" w:rsidP="00CE4977">
            <w:pPr>
              <w:rPr>
                <w:sz w:val="24"/>
                <w:szCs w:val="24"/>
              </w:rPr>
            </w:pPr>
          </w:p>
          <w:p w14:paraId="072A6F98" w14:textId="77777777" w:rsidR="00235F54" w:rsidRDefault="00235F54" w:rsidP="00CE4977">
            <w:pPr>
              <w:rPr>
                <w:sz w:val="24"/>
                <w:szCs w:val="24"/>
              </w:rPr>
            </w:pPr>
          </w:p>
          <w:p w14:paraId="0D293244" w14:textId="5225974E" w:rsidR="00CE4977" w:rsidRDefault="00CE4977" w:rsidP="00CE4977">
            <w:pPr>
              <w:rPr>
                <w:sz w:val="24"/>
                <w:szCs w:val="24"/>
              </w:rPr>
            </w:pPr>
            <w:r>
              <w:rPr>
                <w:sz w:val="24"/>
                <w:szCs w:val="24"/>
              </w:rPr>
              <w:t>2b. As above, would need funding</w:t>
            </w:r>
            <w:r w:rsidR="00733701">
              <w:rPr>
                <w:sz w:val="24"/>
                <w:szCs w:val="24"/>
              </w:rPr>
              <w:t>;</w:t>
            </w:r>
            <w:r>
              <w:rPr>
                <w:sz w:val="24"/>
                <w:szCs w:val="24"/>
              </w:rPr>
              <w:t xml:space="preserve"> costs expected to be higher if vertically divided.</w:t>
            </w:r>
          </w:p>
          <w:p w14:paraId="65DAC83E" w14:textId="77777777" w:rsidR="002B413F" w:rsidRDefault="002B413F" w:rsidP="00CE4977">
            <w:pPr>
              <w:rPr>
                <w:sz w:val="24"/>
                <w:szCs w:val="24"/>
              </w:rPr>
            </w:pPr>
          </w:p>
          <w:p w14:paraId="75178473" w14:textId="77777777" w:rsidR="002B413F" w:rsidRDefault="002B413F" w:rsidP="00CE4977">
            <w:pPr>
              <w:rPr>
                <w:sz w:val="24"/>
                <w:szCs w:val="24"/>
              </w:rPr>
            </w:pPr>
          </w:p>
          <w:p w14:paraId="009EB503" w14:textId="77777777" w:rsidR="00235F54" w:rsidRDefault="00235F54" w:rsidP="00CE4977">
            <w:pPr>
              <w:rPr>
                <w:sz w:val="24"/>
                <w:szCs w:val="24"/>
              </w:rPr>
            </w:pPr>
          </w:p>
          <w:p w14:paraId="5B40DDCF" w14:textId="1F7CDA05" w:rsidR="002B413F" w:rsidRDefault="002B413F" w:rsidP="00CE4977">
            <w:pPr>
              <w:rPr>
                <w:sz w:val="24"/>
                <w:szCs w:val="24"/>
              </w:rPr>
            </w:pPr>
            <w:r>
              <w:rPr>
                <w:sz w:val="24"/>
                <w:szCs w:val="24"/>
              </w:rPr>
              <w:t xml:space="preserve">2c. Outside areas could be let out, following allocation of space that is required for the different activities and sports </w:t>
            </w:r>
            <w:r w:rsidR="0076383D">
              <w:rPr>
                <w:sz w:val="24"/>
                <w:szCs w:val="24"/>
              </w:rPr>
              <w:t>e</w:t>
            </w:r>
            <w:r>
              <w:rPr>
                <w:sz w:val="24"/>
                <w:szCs w:val="24"/>
              </w:rPr>
              <w:t>.g. Astroturf Pitch, field tracks.</w:t>
            </w:r>
          </w:p>
          <w:p w14:paraId="16CE3F3F" w14:textId="420F2D12" w:rsidR="0076383D" w:rsidRPr="00CE4977" w:rsidRDefault="0076383D" w:rsidP="00CE4977">
            <w:pPr>
              <w:rPr>
                <w:sz w:val="24"/>
                <w:szCs w:val="24"/>
              </w:rPr>
            </w:pPr>
          </w:p>
        </w:tc>
      </w:tr>
      <w:tr w:rsidR="00E5784A" w:rsidRPr="00E5784A" w14:paraId="6C3C353A" w14:textId="015D03C5" w:rsidTr="00FA6D20">
        <w:tc>
          <w:tcPr>
            <w:tcW w:w="6237" w:type="dxa"/>
            <w:shd w:val="clear" w:color="auto" w:fill="D5DCE4" w:themeFill="text2" w:themeFillTint="33"/>
          </w:tcPr>
          <w:p w14:paraId="699DF7E7" w14:textId="4137D58D" w:rsidR="00E5784A" w:rsidRPr="00E5784A" w:rsidRDefault="00E5784A" w:rsidP="00D43392">
            <w:pPr>
              <w:pStyle w:val="ListParagraph"/>
              <w:ind w:left="0"/>
              <w:rPr>
                <w:sz w:val="24"/>
                <w:szCs w:val="24"/>
              </w:rPr>
            </w:pPr>
          </w:p>
        </w:tc>
        <w:tc>
          <w:tcPr>
            <w:tcW w:w="6945" w:type="dxa"/>
            <w:shd w:val="clear" w:color="auto" w:fill="D5DCE4" w:themeFill="text2" w:themeFillTint="33"/>
          </w:tcPr>
          <w:p w14:paraId="686652AA" w14:textId="77777777" w:rsidR="00E5784A" w:rsidRPr="00E5784A" w:rsidRDefault="00E5784A" w:rsidP="00D43392">
            <w:pPr>
              <w:pStyle w:val="ListParagraph"/>
              <w:ind w:left="0"/>
              <w:rPr>
                <w:sz w:val="24"/>
                <w:szCs w:val="24"/>
              </w:rPr>
            </w:pPr>
          </w:p>
        </w:tc>
      </w:tr>
      <w:tr w:rsidR="00E5784A" w:rsidRPr="00E5784A" w14:paraId="6827FA25" w14:textId="387E2325" w:rsidTr="00FA6D20">
        <w:tc>
          <w:tcPr>
            <w:tcW w:w="6237" w:type="dxa"/>
          </w:tcPr>
          <w:p w14:paraId="2378EE25" w14:textId="2BBA1C1E" w:rsidR="00E5784A" w:rsidRDefault="00E5784A" w:rsidP="00D43392">
            <w:pPr>
              <w:pStyle w:val="ListParagraph"/>
              <w:numPr>
                <w:ilvl w:val="0"/>
                <w:numId w:val="1"/>
              </w:numPr>
              <w:rPr>
                <w:sz w:val="24"/>
                <w:szCs w:val="24"/>
              </w:rPr>
            </w:pPr>
            <w:r>
              <w:rPr>
                <w:sz w:val="24"/>
                <w:szCs w:val="24"/>
              </w:rPr>
              <w:lastRenderedPageBreak/>
              <w:t xml:space="preserve">a. </w:t>
            </w:r>
            <w:r w:rsidRPr="00E5784A">
              <w:rPr>
                <w:sz w:val="24"/>
                <w:szCs w:val="24"/>
              </w:rPr>
              <w:t>Using the same scenario as point 2, part of the land could be used for Commercial Business Units, with a drive through to the SP Land as a Sports/wellbeing area.</w:t>
            </w:r>
          </w:p>
          <w:p w14:paraId="4FDA64DE" w14:textId="085C8586" w:rsidR="00E5784A" w:rsidRDefault="00E5784A" w:rsidP="00E5784A">
            <w:pPr>
              <w:ind w:left="720"/>
              <w:rPr>
                <w:sz w:val="24"/>
                <w:szCs w:val="24"/>
              </w:rPr>
            </w:pPr>
            <w:r w:rsidRPr="00E5784A">
              <w:rPr>
                <w:sz w:val="24"/>
                <w:szCs w:val="24"/>
              </w:rPr>
              <w:t>OR</w:t>
            </w:r>
          </w:p>
          <w:p w14:paraId="55C0FFF3" w14:textId="61D9B1BE" w:rsidR="00E5784A" w:rsidRPr="00E5784A" w:rsidRDefault="00E5784A" w:rsidP="00E5784A">
            <w:pPr>
              <w:ind w:left="737" w:hanging="709"/>
              <w:rPr>
                <w:sz w:val="24"/>
                <w:szCs w:val="24"/>
              </w:rPr>
            </w:pPr>
            <w:r>
              <w:rPr>
                <w:sz w:val="24"/>
                <w:szCs w:val="24"/>
              </w:rPr>
              <w:t xml:space="preserve">            </w:t>
            </w:r>
            <w:r w:rsidRPr="00E5784A">
              <w:rPr>
                <w:sz w:val="24"/>
                <w:szCs w:val="24"/>
              </w:rPr>
              <w:t xml:space="preserve">b. Could Sell off part of the land for Commercial use, which could include </w:t>
            </w:r>
            <w:r>
              <w:rPr>
                <w:sz w:val="24"/>
                <w:szCs w:val="24"/>
              </w:rPr>
              <w:t xml:space="preserve">      </w:t>
            </w:r>
            <w:r w:rsidRPr="00E5784A">
              <w:rPr>
                <w:sz w:val="24"/>
                <w:szCs w:val="24"/>
              </w:rPr>
              <w:t>Swimming Pool Land (if not restricted).</w:t>
            </w:r>
          </w:p>
        </w:tc>
        <w:tc>
          <w:tcPr>
            <w:tcW w:w="6945" w:type="dxa"/>
          </w:tcPr>
          <w:p w14:paraId="5770B178" w14:textId="77777777" w:rsidR="00E5784A" w:rsidRDefault="002B413F" w:rsidP="002B413F">
            <w:pPr>
              <w:rPr>
                <w:sz w:val="24"/>
                <w:szCs w:val="24"/>
              </w:rPr>
            </w:pPr>
            <w:r>
              <w:rPr>
                <w:sz w:val="24"/>
                <w:szCs w:val="24"/>
              </w:rPr>
              <w:t>As point 2c, allocation and subdivision of land required. Architect with specialism in Sports and Leisure.</w:t>
            </w:r>
          </w:p>
          <w:p w14:paraId="71A3D32B" w14:textId="77777777" w:rsidR="004C08B1" w:rsidRDefault="004C08B1" w:rsidP="002B413F">
            <w:pPr>
              <w:rPr>
                <w:sz w:val="24"/>
                <w:szCs w:val="24"/>
              </w:rPr>
            </w:pPr>
          </w:p>
          <w:p w14:paraId="161B0ABA" w14:textId="77777777" w:rsidR="00235F54" w:rsidRDefault="00235F54" w:rsidP="002B413F">
            <w:pPr>
              <w:rPr>
                <w:sz w:val="24"/>
                <w:szCs w:val="24"/>
              </w:rPr>
            </w:pPr>
          </w:p>
          <w:p w14:paraId="47A50EBC" w14:textId="77777777" w:rsidR="00235F54" w:rsidRDefault="00235F54" w:rsidP="002B413F">
            <w:pPr>
              <w:rPr>
                <w:sz w:val="24"/>
                <w:szCs w:val="24"/>
              </w:rPr>
            </w:pPr>
          </w:p>
          <w:p w14:paraId="5A170A26" w14:textId="26773E7D" w:rsidR="004C08B1" w:rsidRPr="002B413F" w:rsidRDefault="004C08B1" w:rsidP="002B413F">
            <w:pPr>
              <w:rPr>
                <w:sz w:val="24"/>
                <w:szCs w:val="24"/>
              </w:rPr>
            </w:pPr>
            <w:r>
              <w:rPr>
                <w:sz w:val="24"/>
                <w:szCs w:val="24"/>
              </w:rPr>
              <w:t>3b. An option to bring in income for a contribution to the refurbishment of the GBC Building.</w:t>
            </w:r>
          </w:p>
        </w:tc>
      </w:tr>
      <w:tr w:rsidR="00E5784A" w:rsidRPr="00E5784A" w14:paraId="602019B4" w14:textId="40ED2720" w:rsidTr="00FA6D20">
        <w:tc>
          <w:tcPr>
            <w:tcW w:w="6237" w:type="dxa"/>
            <w:shd w:val="clear" w:color="auto" w:fill="D5DCE4" w:themeFill="text2" w:themeFillTint="33"/>
          </w:tcPr>
          <w:p w14:paraId="21E16D05" w14:textId="77777777" w:rsidR="00E5784A" w:rsidRPr="00E5784A" w:rsidRDefault="00E5784A" w:rsidP="00D43392">
            <w:pPr>
              <w:pStyle w:val="ListParagraph"/>
              <w:ind w:left="0"/>
              <w:rPr>
                <w:sz w:val="24"/>
                <w:szCs w:val="24"/>
              </w:rPr>
            </w:pPr>
          </w:p>
        </w:tc>
        <w:tc>
          <w:tcPr>
            <w:tcW w:w="6945" w:type="dxa"/>
            <w:shd w:val="clear" w:color="auto" w:fill="D5DCE4" w:themeFill="text2" w:themeFillTint="33"/>
          </w:tcPr>
          <w:p w14:paraId="6502CFDD" w14:textId="77777777" w:rsidR="00E5784A" w:rsidRPr="00E5784A" w:rsidRDefault="00E5784A" w:rsidP="00D43392">
            <w:pPr>
              <w:pStyle w:val="ListParagraph"/>
              <w:ind w:left="0"/>
              <w:rPr>
                <w:sz w:val="24"/>
                <w:szCs w:val="24"/>
              </w:rPr>
            </w:pPr>
          </w:p>
        </w:tc>
      </w:tr>
      <w:tr w:rsidR="00E5784A" w:rsidRPr="00E5784A" w14:paraId="36429D31" w14:textId="37ED37F0" w:rsidTr="00FA6D20">
        <w:tc>
          <w:tcPr>
            <w:tcW w:w="6237" w:type="dxa"/>
          </w:tcPr>
          <w:p w14:paraId="2912ABFD" w14:textId="77777777" w:rsidR="00E5784A" w:rsidRDefault="004C08B1" w:rsidP="004C08B1">
            <w:pPr>
              <w:pStyle w:val="ListParagraph"/>
              <w:numPr>
                <w:ilvl w:val="0"/>
                <w:numId w:val="4"/>
              </w:numPr>
              <w:rPr>
                <w:sz w:val="24"/>
                <w:szCs w:val="24"/>
              </w:rPr>
            </w:pPr>
            <w:r>
              <w:rPr>
                <w:sz w:val="24"/>
                <w:szCs w:val="24"/>
              </w:rPr>
              <w:t xml:space="preserve">a. </w:t>
            </w:r>
            <w:r w:rsidR="00E5784A" w:rsidRPr="004C08B1">
              <w:rPr>
                <w:sz w:val="24"/>
                <w:szCs w:val="24"/>
              </w:rPr>
              <w:t>Do the Swap and put up for Sale again?</w:t>
            </w:r>
          </w:p>
          <w:p w14:paraId="25B379AC" w14:textId="77777777" w:rsidR="004C08B1" w:rsidRDefault="004C08B1" w:rsidP="004C08B1">
            <w:pPr>
              <w:rPr>
                <w:sz w:val="24"/>
                <w:szCs w:val="24"/>
              </w:rPr>
            </w:pPr>
          </w:p>
          <w:p w14:paraId="0EA4BCDB" w14:textId="77777777" w:rsidR="004C08B1" w:rsidRDefault="004C08B1" w:rsidP="004C08B1">
            <w:pPr>
              <w:ind w:left="720"/>
              <w:rPr>
                <w:sz w:val="24"/>
                <w:szCs w:val="24"/>
              </w:rPr>
            </w:pPr>
          </w:p>
          <w:p w14:paraId="6EBC7326" w14:textId="4E9A7BA1" w:rsidR="00733701" w:rsidRDefault="00733701" w:rsidP="00733701">
            <w:pPr>
              <w:ind w:left="720"/>
              <w:rPr>
                <w:sz w:val="24"/>
                <w:szCs w:val="24"/>
              </w:rPr>
            </w:pPr>
          </w:p>
          <w:p w14:paraId="1517C337" w14:textId="3467A17A" w:rsidR="004C08B1" w:rsidRDefault="004C08B1" w:rsidP="00235F54">
            <w:pPr>
              <w:ind w:left="737"/>
              <w:rPr>
                <w:sz w:val="24"/>
                <w:szCs w:val="24"/>
              </w:rPr>
            </w:pPr>
            <w:r>
              <w:rPr>
                <w:sz w:val="24"/>
                <w:szCs w:val="24"/>
              </w:rPr>
              <w:t xml:space="preserve">b. Demolish the building and sell as </w:t>
            </w:r>
            <w:r w:rsidR="00733701">
              <w:rPr>
                <w:sz w:val="24"/>
                <w:szCs w:val="24"/>
              </w:rPr>
              <w:t xml:space="preserve">    </w:t>
            </w:r>
            <w:r>
              <w:rPr>
                <w:sz w:val="24"/>
                <w:szCs w:val="24"/>
              </w:rPr>
              <w:t>commercial land</w:t>
            </w:r>
          </w:p>
          <w:p w14:paraId="4A86F3C5" w14:textId="714F9519" w:rsidR="004C08B1" w:rsidRPr="004C08B1" w:rsidRDefault="004C08B1" w:rsidP="004C08B1">
            <w:pPr>
              <w:rPr>
                <w:sz w:val="24"/>
                <w:szCs w:val="24"/>
              </w:rPr>
            </w:pPr>
          </w:p>
        </w:tc>
        <w:tc>
          <w:tcPr>
            <w:tcW w:w="6945" w:type="dxa"/>
          </w:tcPr>
          <w:p w14:paraId="53A5BC90" w14:textId="3BFE4950" w:rsidR="00E5784A" w:rsidRDefault="004C08B1" w:rsidP="004C08B1">
            <w:pPr>
              <w:rPr>
                <w:sz w:val="24"/>
                <w:szCs w:val="24"/>
              </w:rPr>
            </w:pPr>
            <w:r>
              <w:rPr>
                <w:sz w:val="24"/>
                <w:szCs w:val="24"/>
              </w:rPr>
              <w:t>4</w:t>
            </w:r>
            <w:r w:rsidR="00A020A7">
              <w:rPr>
                <w:sz w:val="24"/>
                <w:szCs w:val="24"/>
              </w:rPr>
              <w:t>a</w:t>
            </w:r>
            <w:r w:rsidR="00733701">
              <w:rPr>
                <w:sz w:val="24"/>
                <w:szCs w:val="24"/>
              </w:rPr>
              <w:t>.</w:t>
            </w:r>
            <w:r w:rsidR="00A020A7">
              <w:rPr>
                <w:sz w:val="24"/>
                <w:szCs w:val="24"/>
              </w:rPr>
              <w:t xml:space="preserve"> How</w:t>
            </w:r>
            <w:r>
              <w:rPr>
                <w:sz w:val="24"/>
                <w:szCs w:val="24"/>
              </w:rPr>
              <w:t xml:space="preserve"> long would this take; would you sell as land only or market the building</w:t>
            </w:r>
            <w:r w:rsidR="00733701">
              <w:rPr>
                <w:sz w:val="24"/>
                <w:szCs w:val="24"/>
              </w:rPr>
              <w:t xml:space="preserve"> as well</w:t>
            </w:r>
            <w:r>
              <w:rPr>
                <w:sz w:val="24"/>
                <w:szCs w:val="24"/>
              </w:rPr>
              <w:t>? Agents fees to consider.</w:t>
            </w:r>
          </w:p>
          <w:p w14:paraId="63C90E51" w14:textId="77777777" w:rsidR="004C08B1" w:rsidRDefault="004C08B1" w:rsidP="004C08B1">
            <w:pPr>
              <w:rPr>
                <w:sz w:val="24"/>
                <w:szCs w:val="24"/>
              </w:rPr>
            </w:pPr>
          </w:p>
          <w:p w14:paraId="20661E63" w14:textId="77777777" w:rsidR="00235F54" w:rsidRDefault="00235F54" w:rsidP="00904537">
            <w:pPr>
              <w:rPr>
                <w:sz w:val="24"/>
                <w:szCs w:val="24"/>
              </w:rPr>
            </w:pPr>
          </w:p>
          <w:p w14:paraId="7499B089" w14:textId="22332D85" w:rsidR="00904537" w:rsidRDefault="004C08B1" w:rsidP="00904537">
            <w:pPr>
              <w:rPr>
                <w:sz w:val="24"/>
                <w:szCs w:val="24"/>
              </w:rPr>
            </w:pPr>
            <w:r>
              <w:rPr>
                <w:sz w:val="24"/>
                <w:szCs w:val="24"/>
              </w:rPr>
              <w:t xml:space="preserve">4b. </w:t>
            </w:r>
            <w:r w:rsidR="00904537">
              <w:rPr>
                <w:sz w:val="24"/>
                <w:szCs w:val="24"/>
              </w:rPr>
              <w:t>Valued at £1.75M with GBC freehold.</w:t>
            </w:r>
          </w:p>
          <w:p w14:paraId="14AC4E8D" w14:textId="471679C5" w:rsidR="004C08B1" w:rsidRDefault="004C08B1" w:rsidP="004C08B1">
            <w:pPr>
              <w:rPr>
                <w:sz w:val="24"/>
                <w:szCs w:val="24"/>
              </w:rPr>
            </w:pPr>
            <w:r>
              <w:rPr>
                <w:sz w:val="24"/>
                <w:szCs w:val="24"/>
              </w:rPr>
              <w:t xml:space="preserve">Cost of demolishing high £300,000, which reduces the </w:t>
            </w:r>
            <w:r w:rsidR="00733701">
              <w:rPr>
                <w:sz w:val="24"/>
                <w:szCs w:val="24"/>
              </w:rPr>
              <w:t xml:space="preserve">revenue; </w:t>
            </w:r>
            <w:r>
              <w:rPr>
                <w:sz w:val="24"/>
                <w:szCs w:val="24"/>
              </w:rPr>
              <w:t>commercial land is a lower value than residential</w:t>
            </w:r>
            <w:r w:rsidR="00733701">
              <w:rPr>
                <w:sz w:val="24"/>
                <w:szCs w:val="24"/>
              </w:rPr>
              <w:t>.</w:t>
            </w:r>
          </w:p>
          <w:p w14:paraId="08AEE4D4" w14:textId="77777777" w:rsidR="00614569" w:rsidRDefault="00614569" w:rsidP="004C08B1">
            <w:pPr>
              <w:rPr>
                <w:sz w:val="24"/>
                <w:szCs w:val="24"/>
              </w:rPr>
            </w:pPr>
            <w:r>
              <w:rPr>
                <w:sz w:val="24"/>
                <w:szCs w:val="24"/>
              </w:rPr>
              <w:t>Need estimate for use as commercial land only.</w:t>
            </w:r>
          </w:p>
          <w:p w14:paraId="7A5C95D4" w14:textId="77777777" w:rsidR="00614569" w:rsidRDefault="00614569" w:rsidP="004C08B1">
            <w:pPr>
              <w:rPr>
                <w:sz w:val="24"/>
                <w:szCs w:val="24"/>
              </w:rPr>
            </w:pPr>
            <w:r>
              <w:rPr>
                <w:sz w:val="24"/>
                <w:szCs w:val="24"/>
              </w:rPr>
              <w:t>N.B. The Swimming Pool Land valued at £17500 as agricultural land - £7300 per acre.</w:t>
            </w:r>
          </w:p>
          <w:p w14:paraId="2287C62F" w14:textId="35FE5DAD" w:rsidR="00235F54" w:rsidRPr="004C08B1" w:rsidRDefault="00235F54" w:rsidP="004C08B1">
            <w:pPr>
              <w:rPr>
                <w:sz w:val="24"/>
                <w:szCs w:val="24"/>
              </w:rPr>
            </w:pPr>
          </w:p>
        </w:tc>
      </w:tr>
      <w:tr w:rsidR="00A020A7" w:rsidRPr="00E5784A" w14:paraId="5A700EF6" w14:textId="77777777" w:rsidTr="00FA6D20">
        <w:tc>
          <w:tcPr>
            <w:tcW w:w="13182" w:type="dxa"/>
            <w:gridSpan w:val="2"/>
            <w:shd w:val="clear" w:color="auto" w:fill="D5DCE4" w:themeFill="text2" w:themeFillTint="33"/>
          </w:tcPr>
          <w:p w14:paraId="44465D24" w14:textId="1476A3D8" w:rsidR="00A020A7" w:rsidRPr="00A020A7" w:rsidRDefault="00A020A7" w:rsidP="00A020A7">
            <w:pPr>
              <w:jc w:val="center"/>
              <w:rPr>
                <w:b/>
                <w:bCs/>
                <w:sz w:val="24"/>
                <w:szCs w:val="24"/>
              </w:rPr>
            </w:pPr>
            <w:r w:rsidRPr="00A020A7">
              <w:rPr>
                <w:b/>
                <w:bCs/>
                <w:sz w:val="24"/>
                <w:szCs w:val="24"/>
              </w:rPr>
              <w:t>Days Field</w:t>
            </w:r>
          </w:p>
        </w:tc>
      </w:tr>
      <w:tr w:rsidR="00A020A7" w:rsidRPr="00E5784A" w14:paraId="7F2A6EC4" w14:textId="77777777" w:rsidTr="00FA6D20">
        <w:tc>
          <w:tcPr>
            <w:tcW w:w="6237" w:type="dxa"/>
          </w:tcPr>
          <w:p w14:paraId="61436E40" w14:textId="62D5A197" w:rsidR="00A020A7" w:rsidRDefault="00A020A7" w:rsidP="004C08B1">
            <w:pPr>
              <w:pStyle w:val="ListParagraph"/>
              <w:numPr>
                <w:ilvl w:val="0"/>
                <w:numId w:val="4"/>
              </w:numPr>
              <w:rPr>
                <w:sz w:val="24"/>
                <w:szCs w:val="24"/>
              </w:rPr>
            </w:pPr>
            <w:r>
              <w:rPr>
                <w:sz w:val="24"/>
                <w:szCs w:val="24"/>
              </w:rPr>
              <w:t>Sell for residential housing. Outline Planning already been renewed</w:t>
            </w:r>
          </w:p>
        </w:tc>
        <w:tc>
          <w:tcPr>
            <w:tcW w:w="6945" w:type="dxa"/>
          </w:tcPr>
          <w:p w14:paraId="2693ADE2" w14:textId="1469B655" w:rsidR="00A020A7" w:rsidRDefault="00A020A7" w:rsidP="004C08B1">
            <w:pPr>
              <w:rPr>
                <w:sz w:val="24"/>
                <w:szCs w:val="24"/>
              </w:rPr>
            </w:pPr>
            <w:r>
              <w:rPr>
                <w:sz w:val="24"/>
                <w:szCs w:val="24"/>
              </w:rPr>
              <w:t xml:space="preserve">What would STC </w:t>
            </w:r>
            <w:r w:rsidR="007D0EF5">
              <w:rPr>
                <w:sz w:val="24"/>
                <w:szCs w:val="24"/>
              </w:rPr>
              <w:t>use</w:t>
            </w:r>
            <w:r>
              <w:rPr>
                <w:sz w:val="24"/>
                <w:szCs w:val="24"/>
              </w:rPr>
              <w:t xml:space="preserve"> the monies </w:t>
            </w:r>
            <w:r w:rsidR="007D0EF5">
              <w:rPr>
                <w:sz w:val="24"/>
                <w:szCs w:val="24"/>
              </w:rPr>
              <w:t>for</w:t>
            </w:r>
            <w:r>
              <w:rPr>
                <w:sz w:val="24"/>
                <w:szCs w:val="24"/>
              </w:rPr>
              <w:t>?</w:t>
            </w:r>
          </w:p>
          <w:p w14:paraId="368497B9" w14:textId="5F7AC010" w:rsidR="00614569" w:rsidRDefault="00614569" w:rsidP="004C08B1">
            <w:pPr>
              <w:rPr>
                <w:sz w:val="24"/>
                <w:szCs w:val="24"/>
              </w:rPr>
            </w:pPr>
            <w:r>
              <w:rPr>
                <w:sz w:val="24"/>
                <w:szCs w:val="24"/>
              </w:rPr>
              <w:t>Value with OPP - £775,000</w:t>
            </w:r>
            <w:r w:rsidR="00904537">
              <w:rPr>
                <w:sz w:val="24"/>
                <w:szCs w:val="24"/>
              </w:rPr>
              <w:t xml:space="preserve"> (</w:t>
            </w:r>
            <w:r>
              <w:rPr>
                <w:sz w:val="24"/>
                <w:szCs w:val="24"/>
              </w:rPr>
              <w:t>£155,000 per acre</w:t>
            </w:r>
            <w:r w:rsidR="00904537">
              <w:rPr>
                <w:sz w:val="24"/>
                <w:szCs w:val="24"/>
              </w:rPr>
              <w:t>)</w:t>
            </w:r>
            <w:r>
              <w:rPr>
                <w:sz w:val="24"/>
                <w:szCs w:val="24"/>
              </w:rPr>
              <w:t>.</w:t>
            </w:r>
          </w:p>
          <w:p w14:paraId="4553AC1B" w14:textId="77777777" w:rsidR="007D0EF5" w:rsidRDefault="007D0EF5" w:rsidP="004C08B1">
            <w:pPr>
              <w:rPr>
                <w:sz w:val="24"/>
                <w:szCs w:val="24"/>
              </w:rPr>
            </w:pPr>
            <w:r>
              <w:rPr>
                <w:sz w:val="24"/>
                <w:szCs w:val="24"/>
              </w:rPr>
              <w:t>What facilities are required other than Sports and Leisure?</w:t>
            </w:r>
          </w:p>
          <w:p w14:paraId="72E9673C" w14:textId="243CA35B" w:rsidR="00235F54" w:rsidRDefault="00235F54" w:rsidP="004C08B1">
            <w:pPr>
              <w:rPr>
                <w:sz w:val="24"/>
                <w:szCs w:val="24"/>
              </w:rPr>
            </w:pPr>
          </w:p>
        </w:tc>
      </w:tr>
      <w:tr w:rsidR="00A020A7" w:rsidRPr="00E5784A" w14:paraId="64CF59D1" w14:textId="77777777" w:rsidTr="00FA6D20">
        <w:tc>
          <w:tcPr>
            <w:tcW w:w="6237" w:type="dxa"/>
          </w:tcPr>
          <w:p w14:paraId="7D004815" w14:textId="126C2468" w:rsidR="00A020A7" w:rsidRDefault="0076383D" w:rsidP="004C08B1">
            <w:pPr>
              <w:pStyle w:val="ListParagraph"/>
              <w:numPr>
                <w:ilvl w:val="0"/>
                <w:numId w:val="4"/>
              </w:numPr>
              <w:rPr>
                <w:sz w:val="24"/>
                <w:szCs w:val="24"/>
              </w:rPr>
            </w:pPr>
            <w:r>
              <w:rPr>
                <w:sz w:val="24"/>
                <w:szCs w:val="24"/>
              </w:rPr>
              <w:t>Open</w:t>
            </w:r>
            <w:r w:rsidR="007D0EF5">
              <w:rPr>
                <w:sz w:val="24"/>
                <w:szCs w:val="24"/>
              </w:rPr>
              <w:t xml:space="preserve"> o</w:t>
            </w:r>
            <w:r w:rsidR="00A020A7">
              <w:rPr>
                <w:sz w:val="24"/>
                <w:szCs w:val="24"/>
              </w:rPr>
              <w:t>ptions from previous debates</w:t>
            </w:r>
            <w:r>
              <w:rPr>
                <w:sz w:val="24"/>
                <w:szCs w:val="24"/>
              </w:rPr>
              <w:t xml:space="preserve"> in 2018</w:t>
            </w:r>
          </w:p>
        </w:tc>
        <w:tc>
          <w:tcPr>
            <w:tcW w:w="6945" w:type="dxa"/>
          </w:tcPr>
          <w:p w14:paraId="248883FF" w14:textId="77777777" w:rsidR="00A020A7" w:rsidRDefault="007D0EF5" w:rsidP="004C08B1">
            <w:pPr>
              <w:rPr>
                <w:sz w:val="24"/>
                <w:szCs w:val="24"/>
              </w:rPr>
            </w:pPr>
            <w:r>
              <w:rPr>
                <w:sz w:val="24"/>
                <w:szCs w:val="24"/>
              </w:rPr>
              <w:t>Previous debates for Days Field, not popular with residents.</w:t>
            </w:r>
          </w:p>
          <w:p w14:paraId="0EDA3928" w14:textId="453F32B1" w:rsidR="00235F54" w:rsidRDefault="00235F54" w:rsidP="004C08B1">
            <w:pPr>
              <w:rPr>
                <w:sz w:val="24"/>
                <w:szCs w:val="24"/>
              </w:rPr>
            </w:pPr>
          </w:p>
        </w:tc>
      </w:tr>
    </w:tbl>
    <w:p w14:paraId="19566F19" w14:textId="23F0D49F" w:rsidR="00407256" w:rsidRPr="002832D0" w:rsidRDefault="00407256" w:rsidP="00407256">
      <w:pPr>
        <w:rPr>
          <w:sz w:val="24"/>
          <w:szCs w:val="24"/>
        </w:rPr>
      </w:pPr>
    </w:p>
    <w:p w14:paraId="7E721FCB" w14:textId="60EC7FC7" w:rsidR="0041398F" w:rsidRDefault="0041398F" w:rsidP="0041398F">
      <w:pPr>
        <w:rPr>
          <w:sz w:val="24"/>
          <w:szCs w:val="24"/>
        </w:rPr>
      </w:pPr>
    </w:p>
    <w:p w14:paraId="6BEEEEE6" w14:textId="47F0F339" w:rsidR="00FA6D20" w:rsidRDefault="00FA6D20" w:rsidP="00FA6D20">
      <w:pPr>
        <w:jc w:val="center"/>
        <w:rPr>
          <w:b/>
          <w:bCs/>
          <w:sz w:val="24"/>
          <w:szCs w:val="24"/>
        </w:rPr>
      </w:pPr>
      <w:r w:rsidRPr="00600C62">
        <w:rPr>
          <w:b/>
          <w:bCs/>
          <w:sz w:val="24"/>
          <w:szCs w:val="24"/>
        </w:rPr>
        <w:lastRenderedPageBreak/>
        <w:t>Costs known to date</w:t>
      </w:r>
    </w:p>
    <w:tbl>
      <w:tblPr>
        <w:tblStyle w:val="TableGrid"/>
        <w:tblW w:w="0" w:type="auto"/>
        <w:tblInd w:w="988" w:type="dxa"/>
        <w:tblLook w:val="04A0" w:firstRow="1" w:lastRow="0" w:firstColumn="1" w:lastColumn="0" w:noHBand="0" w:noVBand="1"/>
      </w:tblPr>
      <w:tblGrid>
        <w:gridCol w:w="5811"/>
        <w:gridCol w:w="2552"/>
        <w:gridCol w:w="2268"/>
      </w:tblGrid>
      <w:tr w:rsidR="00600C62" w14:paraId="5D577E69" w14:textId="6DBBEC1D" w:rsidTr="00600C62">
        <w:tc>
          <w:tcPr>
            <w:tcW w:w="5811" w:type="dxa"/>
          </w:tcPr>
          <w:p w14:paraId="52B08D88" w14:textId="771C7825" w:rsidR="00600C62" w:rsidRDefault="00600C62" w:rsidP="00600C62">
            <w:pPr>
              <w:rPr>
                <w:b/>
                <w:bCs/>
                <w:sz w:val="24"/>
                <w:szCs w:val="24"/>
              </w:rPr>
            </w:pPr>
            <w:r>
              <w:rPr>
                <w:b/>
                <w:bCs/>
                <w:sz w:val="24"/>
                <w:szCs w:val="24"/>
              </w:rPr>
              <w:t>Company/organisation</w:t>
            </w:r>
          </w:p>
        </w:tc>
        <w:tc>
          <w:tcPr>
            <w:tcW w:w="2552" w:type="dxa"/>
          </w:tcPr>
          <w:p w14:paraId="5A3278F7" w14:textId="7875C9B5" w:rsidR="00600C62" w:rsidRDefault="00600C62" w:rsidP="00600C62">
            <w:pPr>
              <w:rPr>
                <w:b/>
                <w:bCs/>
                <w:sz w:val="24"/>
                <w:szCs w:val="24"/>
              </w:rPr>
            </w:pPr>
            <w:r>
              <w:rPr>
                <w:b/>
                <w:bCs/>
                <w:sz w:val="24"/>
                <w:szCs w:val="24"/>
              </w:rPr>
              <w:t>Date</w:t>
            </w:r>
          </w:p>
        </w:tc>
        <w:tc>
          <w:tcPr>
            <w:tcW w:w="2268" w:type="dxa"/>
          </w:tcPr>
          <w:p w14:paraId="5D5DF424" w14:textId="4A6111B8" w:rsidR="00600C62" w:rsidRDefault="00600C62" w:rsidP="00600C62">
            <w:pPr>
              <w:rPr>
                <w:b/>
                <w:bCs/>
                <w:sz w:val="24"/>
                <w:szCs w:val="24"/>
              </w:rPr>
            </w:pPr>
            <w:r>
              <w:rPr>
                <w:b/>
                <w:bCs/>
                <w:sz w:val="24"/>
                <w:szCs w:val="24"/>
              </w:rPr>
              <w:t>Cost £</w:t>
            </w:r>
          </w:p>
        </w:tc>
      </w:tr>
      <w:tr w:rsidR="00600C62" w14:paraId="413F8F61" w14:textId="786C0096" w:rsidTr="00600C62">
        <w:tc>
          <w:tcPr>
            <w:tcW w:w="5811" w:type="dxa"/>
          </w:tcPr>
          <w:p w14:paraId="00996474" w14:textId="092D5FC9" w:rsidR="00600C62" w:rsidRPr="00600C62" w:rsidRDefault="00600C62" w:rsidP="00600C62">
            <w:pPr>
              <w:rPr>
                <w:sz w:val="24"/>
                <w:szCs w:val="24"/>
              </w:rPr>
            </w:pPr>
            <w:r>
              <w:rPr>
                <w:sz w:val="24"/>
                <w:szCs w:val="24"/>
              </w:rPr>
              <w:t xml:space="preserve">Replacement glass panes </w:t>
            </w:r>
          </w:p>
        </w:tc>
        <w:tc>
          <w:tcPr>
            <w:tcW w:w="2552" w:type="dxa"/>
          </w:tcPr>
          <w:p w14:paraId="17AF759C" w14:textId="67FBCD1A" w:rsidR="00600C62" w:rsidRPr="00F732EF" w:rsidRDefault="00F732EF" w:rsidP="00600C62">
            <w:pPr>
              <w:rPr>
                <w:sz w:val="24"/>
                <w:szCs w:val="24"/>
              </w:rPr>
            </w:pPr>
            <w:r w:rsidRPr="00F732EF">
              <w:rPr>
                <w:sz w:val="24"/>
                <w:szCs w:val="24"/>
              </w:rPr>
              <w:t>2019</w:t>
            </w:r>
          </w:p>
        </w:tc>
        <w:tc>
          <w:tcPr>
            <w:tcW w:w="2268" w:type="dxa"/>
          </w:tcPr>
          <w:p w14:paraId="625F6FD4" w14:textId="12678760" w:rsidR="00600C62" w:rsidRPr="00600C62" w:rsidRDefault="00F732EF" w:rsidP="00600C62">
            <w:pPr>
              <w:rPr>
                <w:sz w:val="24"/>
                <w:szCs w:val="24"/>
              </w:rPr>
            </w:pPr>
            <w:r>
              <w:rPr>
                <w:sz w:val="24"/>
                <w:szCs w:val="24"/>
              </w:rPr>
              <w:t>£200,000 per pane grid.</w:t>
            </w:r>
          </w:p>
        </w:tc>
      </w:tr>
      <w:tr w:rsidR="00600C62" w14:paraId="2088A3E2" w14:textId="0252033E" w:rsidTr="00600C62">
        <w:tc>
          <w:tcPr>
            <w:tcW w:w="5811" w:type="dxa"/>
          </w:tcPr>
          <w:p w14:paraId="3E6C59F0" w14:textId="6FFD142C" w:rsidR="00600C62" w:rsidRPr="00600C62" w:rsidRDefault="00600C62" w:rsidP="00600C62">
            <w:pPr>
              <w:rPr>
                <w:sz w:val="24"/>
                <w:szCs w:val="24"/>
              </w:rPr>
            </w:pPr>
            <w:r w:rsidRPr="00600C62">
              <w:rPr>
                <w:sz w:val="24"/>
                <w:szCs w:val="24"/>
              </w:rPr>
              <w:t xml:space="preserve">Conditions survey Daniel </w:t>
            </w:r>
            <w:proofErr w:type="spellStart"/>
            <w:r w:rsidRPr="00600C62">
              <w:rPr>
                <w:sz w:val="24"/>
                <w:szCs w:val="24"/>
              </w:rPr>
              <w:t>Connal</w:t>
            </w:r>
            <w:proofErr w:type="spellEnd"/>
            <w:r w:rsidRPr="00600C62">
              <w:rPr>
                <w:sz w:val="24"/>
                <w:szCs w:val="24"/>
              </w:rPr>
              <w:t xml:space="preserve"> Partnership</w:t>
            </w:r>
          </w:p>
        </w:tc>
        <w:tc>
          <w:tcPr>
            <w:tcW w:w="2552" w:type="dxa"/>
          </w:tcPr>
          <w:p w14:paraId="5DC31850" w14:textId="72A7FA4E" w:rsidR="00600C62" w:rsidRPr="00600C62" w:rsidRDefault="00600C62" w:rsidP="00600C62">
            <w:pPr>
              <w:rPr>
                <w:sz w:val="24"/>
                <w:szCs w:val="24"/>
              </w:rPr>
            </w:pPr>
            <w:r w:rsidRPr="00600C62">
              <w:rPr>
                <w:sz w:val="24"/>
                <w:szCs w:val="24"/>
              </w:rPr>
              <w:t>August 2013</w:t>
            </w:r>
          </w:p>
        </w:tc>
        <w:tc>
          <w:tcPr>
            <w:tcW w:w="2268" w:type="dxa"/>
          </w:tcPr>
          <w:p w14:paraId="1F53123B" w14:textId="7A198B4E" w:rsidR="00600C62" w:rsidRPr="00600C62" w:rsidRDefault="00600C62" w:rsidP="00600C62">
            <w:pPr>
              <w:rPr>
                <w:sz w:val="24"/>
                <w:szCs w:val="24"/>
              </w:rPr>
            </w:pPr>
            <w:r w:rsidRPr="00600C62">
              <w:rPr>
                <w:sz w:val="24"/>
                <w:szCs w:val="24"/>
              </w:rPr>
              <w:t>£52</w:t>
            </w:r>
            <w:r>
              <w:rPr>
                <w:sz w:val="24"/>
                <w:szCs w:val="24"/>
              </w:rPr>
              <w:t>,</w:t>
            </w:r>
            <w:r w:rsidRPr="00600C62">
              <w:rPr>
                <w:sz w:val="24"/>
                <w:szCs w:val="24"/>
              </w:rPr>
              <w:t>730</w:t>
            </w:r>
          </w:p>
        </w:tc>
      </w:tr>
      <w:tr w:rsidR="00600C62" w14:paraId="605936E3" w14:textId="50EF1775" w:rsidTr="00600C62">
        <w:tc>
          <w:tcPr>
            <w:tcW w:w="5811" w:type="dxa"/>
          </w:tcPr>
          <w:p w14:paraId="3503E161" w14:textId="34089B59" w:rsidR="00600C62" w:rsidRPr="00600C62" w:rsidRDefault="00600C62" w:rsidP="00600C62">
            <w:pPr>
              <w:rPr>
                <w:sz w:val="24"/>
                <w:szCs w:val="24"/>
              </w:rPr>
            </w:pPr>
            <w:r w:rsidRPr="00600C62">
              <w:rPr>
                <w:sz w:val="24"/>
                <w:szCs w:val="24"/>
              </w:rPr>
              <w:t>TK Drake Electrical works</w:t>
            </w:r>
            <w:bookmarkStart w:id="0" w:name="_GoBack"/>
            <w:bookmarkEnd w:id="0"/>
          </w:p>
        </w:tc>
        <w:tc>
          <w:tcPr>
            <w:tcW w:w="2552" w:type="dxa"/>
          </w:tcPr>
          <w:p w14:paraId="70EA1CA1" w14:textId="77777777" w:rsidR="00600C62" w:rsidRPr="00600C62" w:rsidRDefault="00600C62" w:rsidP="00600C62">
            <w:pPr>
              <w:rPr>
                <w:sz w:val="24"/>
                <w:szCs w:val="24"/>
              </w:rPr>
            </w:pPr>
          </w:p>
        </w:tc>
        <w:tc>
          <w:tcPr>
            <w:tcW w:w="2268" w:type="dxa"/>
          </w:tcPr>
          <w:p w14:paraId="7F63D2EB" w14:textId="77777777" w:rsidR="00600C62" w:rsidRPr="00600C62" w:rsidRDefault="00600C62" w:rsidP="00600C62">
            <w:pPr>
              <w:rPr>
                <w:sz w:val="24"/>
                <w:szCs w:val="24"/>
              </w:rPr>
            </w:pPr>
          </w:p>
        </w:tc>
      </w:tr>
      <w:tr w:rsidR="00600C62" w14:paraId="3DF9D80D" w14:textId="339F8565" w:rsidTr="00600C62">
        <w:tc>
          <w:tcPr>
            <w:tcW w:w="5811" w:type="dxa"/>
          </w:tcPr>
          <w:p w14:paraId="599B799B" w14:textId="77777777" w:rsidR="00600C62" w:rsidRPr="00600C62" w:rsidRDefault="00600C62" w:rsidP="00600C62">
            <w:pPr>
              <w:rPr>
                <w:sz w:val="24"/>
                <w:szCs w:val="24"/>
              </w:rPr>
            </w:pPr>
          </w:p>
        </w:tc>
        <w:tc>
          <w:tcPr>
            <w:tcW w:w="2552" w:type="dxa"/>
          </w:tcPr>
          <w:p w14:paraId="3C9512AA" w14:textId="77777777" w:rsidR="00600C62" w:rsidRDefault="00600C62" w:rsidP="00600C62">
            <w:pPr>
              <w:rPr>
                <w:b/>
                <w:bCs/>
                <w:sz w:val="24"/>
                <w:szCs w:val="24"/>
              </w:rPr>
            </w:pPr>
          </w:p>
        </w:tc>
        <w:tc>
          <w:tcPr>
            <w:tcW w:w="2268" w:type="dxa"/>
          </w:tcPr>
          <w:p w14:paraId="09CD4FA2" w14:textId="77777777" w:rsidR="00600C62" w:rsidRPr="00600C62" w:rsidRDefault="00600C62" w:rsidP="00600C62">
            <w:pPr>
              <w:rPr>
                <w:sz w:val="24"/>
                <w:szCs w:val="24"/>
              </w:rPr>
            </w:pPr>
          </w:p>
        </w:tc>
      </w:tr>
      <w:tr w:rsidR="00600C62" w14:paraId="1E39E896" w14:textId="2474A875" w:rsidTr="00600C62">
        <w:tc>
          <w:tcPr>
            <w:tcW w:w="5811" w:type="dxa"/>
          </w:tcPr>
          <w:p w14:paraId="34E251D3" w14:textId="77777777" w:rsidR="00600C62" w:rsidRPr="00600C62" w:rsidRDefault="00600C62" w:rsidP="00600C62">
            <w:pPr>
              <w:rPr>
                <w:sz w:val="24"/>
                <w:szCs w:val="24"/>
              </w:rPr>
            </w:pPr>
          </w:p>
        </w:tc>
        <w:tc>
          <w:tcPr>
            <w:tcW w:w="2552" w:type="dxa"/>
          </w:tcPr>
          <w:p w14:paraId="6969E317" w14:textId="77777777" w:rsidR="00600C62" w:rsidRDefault="00600C62" w:rsidP="00600C62">
            <w:pPr>
              <w:rPr>
                <w:b/>
                <w:bCs/>
                <w:sz w:val="24"/>
                <w:szCs w:val="24"/>
              </w:rPr>
            </w:pPr>
          </w:p>
        </w:tc>
        <w:tc>
          <w:tcPr>
            <w:tcW w:w="2268" w:type="dxa"/>
          </w:tcPr>
          <w:p w14:paraId="2A6F6998" w14:textId="77777777" w:rsidR="00600C62" w:rsidRPr="00600C62" w:rsidRDefault="00600C62" w:rsidP="00600C62">
            <w:pPr>
              <w:rPr>
                <w:sz w:val="24"/>
                <w:szCs w:val="24"/>
              </w:rPr>
            </w:pPr>
          </w:p>
        </w:tc>
      </w:tr>
    </w:tbl>
    <w:p w14:paraId="01AFBAC3" w14:textId="77777777" w:rsidR="00600C62" w:rsidRPr="00600C62" w:rsidRDefault="00600C62" w:rsidP="00600C62">
      <w:pPr>
        <w:rPr>
          <w:b/>
          <w:bCs/>
          <w:sz w:val="24"/>
          <w:szCs w:val="24"/>
        </w:rPr>
      </w:pPr>
    </w:p>
    <w:sectPr w:rsidR="00600C62" w:rsidRPr="00600C62" w:rsidSect="00235F5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72ED9" w14:textId="77777777" w:rsidR="002F05A5" w:rsidRDefault="002F05A5" w:rsidP="00361ECE">
      <w:pPr>
        <w:spacing w:after="0" w:line="240" w:lineRule="auto"/>
      </w:pPr>
      <w:r>
        <w:separator/>
      </w:r>
    </w:p>
  </w:endnote>
  <w:endnote w:type="continuationSeparator" w:id="0">
    <w:p w14:paraId="3B16E8C3" w14:textId="77777777" w:rsidR="002F05A5" w:rsidRDefault="002F05A5" w:rsidP="0036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36A9" w14:textId="61AB2307" w:rsidR="00361ECE" w:rsidRPr="00361ECE" w:rsidRDefault="00361ECE">
    <w:pPr>
      <w:pStyle w:val="Footer"/>
      <w:rPr>
        <w:color w:val="F2F2F2" w:themeColor="background1" w:themeShade="F2"/>
        <w:sz w:val="18"/>
        <w:szCs w:val="18"/>
      </w:rPr>
    </w:pPr>
    <w:proofErr w:type="spellStart"/>
    <w:r w:rsidRPr="00361ECE">
      <w:rPr>
        <w:color w:val="F2F2F2" w:themeColor="background1" w:themeShade="F2"/>
        <w:sz w:val="18"/>
        <w:szCs w:val="18"/>
      </w:rPr>
      <w:t>STC.GBC.Options</w:t>
    </w:r>
    <w:proofErr w:type="spellEnd"/>
    <w:r w:rsidRPr="00361ECE">
      <w:rPr>
        <w:color w:val="F2F2F2" w:themeColor="background1" w:themeShade="F2"/>
        <w:sz w:val="18"/>
        <w:szCs w:val="18"/>
      </w:rPr>
      <w:tab/>
    </w:r>
    <w:r w:rsidRPr="00361ECE">
      <w:rPr>
        <w:color w:val="F2F2F2" w:themeColor="background1" w:themeShade="F2"/>
        <w:sz w:val="18"/>
        <w:szCs w:val="18"/>
      </w:rPr>
      <w:tab/>
    </w:r>
    <w:r w:rsidRPr="00361ECE">
      <w:rPr>
        <w:color w:val="F2F2F2" w:themeColor="background1" w:themeShade="F2"/>
        <w:sz w:val="18"/>
        <w:szCs w:val="18"/>
      </w:rPr>
      <w:tab/>
    </w:r>
    <w:r w:rsidRPr="00361ECE">
      <w:rPr>
        <w:color w:val="F2F2F2" w:themeColor="background1" w:themeShade="F2"/>
        <w:sz w:val="18"/>
        <w:szCs w:val="18"/>
      </w:rPr>
      <w:tab/>
    </w:r>
    <w:r w:rsidRPr="00361ECE">
      <w:rPr>
        <w:color w:val="F2F2F2" w:themeColor="background1" w:themeShade="F2"/>
        <w:sz w:val="18"/>
        <w:szCs w:val="18"/>
      </w:rPr>
      <w:tab/>
      <w:t>JA. Feb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23439" w14:textId="77777777" w:rsidR="002F05A5" w:rsidRDefault="002F05A5" w:rsidP="00361ECE">
      <w:pPr>
        <w:spacing w:after="0" w:line="240" w:lineRule="auto"/>
      </w:pPr>
      <w:r>
        <w:separator/>
      </w:r>
    </w:p>
  </w:footnote>
  <w:footnote w:type="continuationSeparator" w:id="0">
    <w:p w14:paraId="4106AF1A" w14:textId="77777777" w:rsidR="002F05A5" w:rsidRDefault="002F05A5" w:rsidP="00361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D374A"/>
    <w:multiLevelType w:val="hybridMultilevel"/>
    <w:tmpl w:val="49FCC6E8"/>
    <w:lvl w:ilvl="0" w:tplc="E15C459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DE628B"/>
    <w:multiLevelType w:val="hybridMultilevel"/>
    <w:tmpl w:val="702A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EF6260"/>
    <w:multiLevelType w:val="hybridMultilevel"/>
    <w:tmpl w:val="777418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531016"/>
    <w:multiLevelType w:val="hybridMultilevel"/>
    <w:tmpl w:val="88EAF5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0A"/>
    <w:rsid w:val="00235F54"/>
    <w:rsid w:val="002832D0"/>
    <w:rsid w:val="002B413F"/>
    <w:rsid w:val="002F05A5"/>
    <w:rsid w:val="00361ECE"/>
    <w:rsid w:val="00407256"/>
    <w:rsid w:val="0041398F"/>
    <w:rsid w:val="004C08B1"/>
    <w:rsid w:val="005645C4"/>
    <w:rsid w:val="00576F53"/>
    <w:rsid w:val="00581BC9"/>
    <w:rsid w:val="00600C62"/>
    <w:rsid w:val="00614569"/>
    <w:rsid w:val="00733701"/>
    <w:rsid w:val="0076383D"/>
    <w:rsid w:val="00763FB3"/>
    <w:rsid w:val="007D0EF5"/>
    <w:rsid w:val="00904537"/>
    <w:rsid w:val="00963855"/>
    <w:rsid w:val="00A020A7"/>
    <w:rsid w:val="00AF468C"/>
    <w:rsid w:val="00BE313A"/>
    <w:rsid w:val="00CE4977"/>
    <w:rsid w:val="00DB7933"/>
    <w:rsid w:val="00E5784A"/>
    <w:rsid w:val="00E757B9"/>
    <w:rsid w:val="00E8743B"/>
    <w:rsid w:val="00F60F0A"/>
    <w:rsid w:val="00F732EF"/>
    <w:rsid w:val="00FA6D20"/>
    <w:rsid w:val="00FF1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9A75"/>
  <w15:chartTrackingRefBased/>
  <w15:docId w15:val="{7DEA801F-4137-481F-A684-2CA85126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0A"/>
    <w:pPr>
      <w:ind w:left="720"/>
      <w:contextualSpacing/>
    </w:pPr>
  </w:style>
  <w:style w:type="table" w:styleId="TableGrid">
    <w:name w:val="Table Grid"/>
    <w:basedOn w:val="TableNormal"/>
    <w:uiPriority w:val="39"/>
    <w:rsid w:val="00E5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ECE"/>
  </w:style>
  <w:style w:type="paragraph" w:styleId="Footer">
    <w:name w:val="footer"/>
    <w:basedOn w:val="Normal"/>
    <w:link w:val="FooterChar"/>
    <w:uiPriority w:val="99"/>
    <w:unhideWhenUsed/>
    <w:rsid w:val="00361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ECE"/>
  </w:style>
  <w:style w:type="paragraph" w:styleId="BalloonText">
    <w:name w:val="Balloon Text"/>
    <w:basedOn w:val="Normal"/>
    <w:link w:val="BalloonTextChar"/>
    <w:uiPriority w:val="99"/>
    <w:semiHidden/>
    <w:unhideWhenUsed/>
    <w:rsid w:val="00FA6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5183-888A-420A-863E-232F9258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Anscombe</dc:creator>
  <cp:keywords/>
  <dc:description/>
  <cp:lastModifiedBy>Judy Anscombe</cp:lastModifiedBy>
  <cp:revision>18</cp:revision>
  <cp:lastPrinted>2020-02-03T16:51:00Z</cp:lastPrinted>
  <dcterms:created xsi:type="dcterms:W3CDTF">2020-01-20T10:23:00Z</dcterms:created>
  <dcterms:modified xsi:type="dcterms:W3CDTF">2020-02-03T17:02:00Z</dcterms:modified>
</cp:coreProperties>
</file>