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Style w:val="Strong"/>
        </w:rPr>
      </w:pPr>
      <w:r>
        <w:rPr>
          <w:rStyle w:val="Strong"/>
        </w:rPr>
        <w:t>BORDEN GATE PARISH COUNCIL</w:t>
      </w:r>
    </w:p>
    <w:p>
      <w:pPr>
        <w:pStyle w:val="Normal"/>
        <w:jc w:val="center"/>
        <w:rPr>
          <w:rStyle w:val="Strong"/>
        </w:rPr>
      </w:pPr>
      <w:r>
        <w:rPr>
          <w:rStyle w:val="Strong"/>
        </w:rPr>
        <w:t xml:space="preserve">Clayhanger, Hockworthy and Huntsham </w:t>
      </w:r>
    </w:p>
    <w:p>
      <w:pPr>
        <w:pStyle w:val="Normal"/>
        <w:jc w:val="center"/>
        <w:rPr>
          <w:b/>
          <w:b/>
        </w:rPr>
      </w:pPr>
      <w:r>
        <w:rPr>
          <w:b/>
        </w:rPr>
      </w:r>
    </w:p>
    <w:p>
      <w:pPr>
        <w:pStyle w:val="Normal"/>
        <w:rPr/>
      </w:pPr>
      <w:r>
        <w:rPr/>
        <w:t>Clerk to the Council P Bainbridge, 35 Mount Street, Bishops Lydeard, Taunton TA4 3LH 07504507558</w:t>
      </w:r>
    </w:p>
    <w:p>
      <w:pPr>
        <w:pStyle w:val="Normal"/>
        <w:rPr>
          <w:b/>
          <w:b/>
        </w:rPr>
      </w:pPr>
      <w:r>
        <w:rPr>
          <w:b/>
        </w:rPr>
      </w:r>
    </w:p>
    <w:p>
      <w:pPr>
        <w:pStyle w:val="Normal"/>
        <w:jc w:val="center"/>
        <w:rPr>
          <w:b/>
          <w:b/>
          <w:bCs/>
        </w:rPr>
      </w:pPr>
      <w:r>
        <w:rPr>
          <w:b/>
          <w:bCs/>
        </w:rPr>
        <w:t>To Members of Borden Gate Parish Council, May 2022</w:t>
      </w:r>
    </w:p>
    <w:p>
      <w:pPr>
        <w:pStyle w:val="Normal"/>
        <w:jc w:val="center"/>
        <w:rPr>
          <w:b/>
          <w:b/>
          <w:bCs/>
        </w:rPr>
      </w:pPr>
      <w:r>
        <w:rPr>
          <w:b/>
          <w:bCs/>
        </w:rPr>
      </w:r>
    </w:p>
    <w:p>
      <w:pPr>
        <w:pStyle w:val="Normal"/>
        <w:rPr/>
      </w:pPr>
      <w:r>
        <w:rPr/>
        <w:t>You are duly summoned to attend the Annual Meeting of Borden Gate Parish Council to be held immediately following the Annual Parish Meeting in Clayhanger WI Hall at 7:00 pm on Wednesday 18</w:t>
      </w:r>
      <w:r>
        <w:rPr>
          <w:vertAlign w:val="superscript"/>
        </w:rPr>
        <w:t>th</w:t>
      </w:r>
      <w:r>
        <w:rPr/>
        <w:t xml:space="preserve"> May 2022 </w:t>
      </w:r>
    </w:p>
    <w:p>
      <w:pPr>
        <w:pStyle w:val="Normal"/>
        <w:rPr/>
      </w:pPr>
      <w:r>
        <w:rPr/>
      </w:r>
    </w:p>
    <w:p>
      <w:pPr>
        <w:pStyle w:val="Normal"/>
        <w:rPr/>
      </w:pPr>
      <w:r>
        <w:rPr>
          <w:b/>
        </w:rPr>
        <w:t xml:space="preserve">Public question time: </w:t>
      </w:r>
      <w:r>
        <w:rPr/>
        <w:t>There will be an open forum for any questions or concerns at the beginning of the meeting. Before the start of the meeting residents are welcome to raise any issues on this agenda or to suggest items for future consideration, or simply to listen to the meeting. Because there is a limited time available in the meeting it would be preferable if any concerns are addressed to the Clerk or the Chair beforehand. Members of the public may not take part in the Parish Council meeting itself.</w:t>
      </w:r>
    </w:p>
    <w:p>
      <w:pPr>
        <w:pStyle w:val="Normal"/>
        <w:rPr/>
      </w:pPr>
      <w:r>
        <w:rPr/>
      </w:r>
    </w:p>
    <w:p>
      <w:pPr>
        <w:pStyle w:val="Normal"/>
        <w:rPr>
          <w:sz w:val="28"/>
          <w:szCs w:val="28"/>
        </w:rPr>
      </w:pPr>
      <w:r>
        <w:rPr>
          <w:sz w:val="28"/>
          <w:szCs w:val="28"/>
        </w:rPr>
      </w:r>
    </w:p>
    <w:p>
      <w:pPr>
        <w:pStyle w:val="Normal"/>
        <w:rPr>
          <w:rStyle w:val="Strong"/>
          <w:u w:val="single"/>
        </w:rPr>
      </w:pPr>
      <w:r>
        <w:rPr>
          <w:rStyle w:val="Strong"/>
          <w:u w:val="single"/>
        </w:rPr>
        <w:t>AGENDA OF THE ANNUAL MEETING OF THE PARISH COUNCIL</w:t>
      </w:r>
    </w:p>
    <w:p>
      <w:pPr>
        <w:pStyle w:val="Normal"/>
        <w:rPr>
          <w:rStyle w:val="Strong"/>
          <w:u w:val="single"/>
        </w:rPr>
      </w:pPr>
      <w:r>
        <w:rPr>
          <w:u w:val="single"/>
        </w:rPr>
      </w:r>
    </w:p>
    <w:p>
      <w:pPr>
        <w:pStyle w:val="Normal"/>
        <w:ind w:left="720" w:hanging="0"/>
        <w:rPr>
          <w:rStyle w:val="Strong"/>
          <w:sz w:val="28"/>
          <w:szCs w:val="28"/>
        </w:rPr>
      </w:pPr>
      <w:r>
        <w:rPr>
          <w:rStyle w:val="Strong"/>
          <w:sz w:val="28"/>
          <w:szCs w:val="28"/>
        </w:rPr>
        <w:t>A.</w:t>
        <w:tab/>
        <w:t xml:space="preserve">i. </w:t>
        <w:tab/>
        <w:t>Election of Chair*</w:t>
      </w:r>
    </w:p>
    <w:p>
      <w:pPr>
        <w:pStyle w:val="Normal"/>
        <w:ind w:left="720" w:hanging="0"/>
        <w:rPr>
          <w:rStyle w:val="Strong"/>
          <w:sz w:val="28"/>
          <w:szCs w:val="28"/>
        </w:rPr>
      </w:pPr>
      <w:r>
        <w:rPr>
          <w:rStyle w:val="Strong"/>
          <w:sz w:val="28"/>
          <w:szCs w:val="28"/>
        </w:rPr>
        <w:tab/>
        <w:t xml:space="preserve">ii. </w:t>
        <w:tab/>
        <w:t>Election of Vice Chair</w:t>
      </w:r>
    </w:p>
    <w:p>
      <w:pPr>
        <w:pStyle w:val="Normal"/>
        <w:ind w:left="720" w:hanging="0"/>
        <w:rPr>
          <w:rStyle w:val="Strong"/>
          <w:b w:val="false"/>
          <w:b w:val="false"/>
          <w:bCs w:val="false"/>
        </w:rPr>
      </w:pPr>
      <w:r>
        <w:rPr>
          <w:rStyle w:val="Strong"/>
          <w:b w:val="false"/>
          <w:bCs w:val="false"/>
        </w:rPr>
        <w:t>*A signed Acceptance of Office form to be returned to the Clerk.</w:t>
      </w:r>
    </w:p>
    <w:p>
      <w:pPr>
        <w:pStyle w:val="Normal"/>
        <w:rPr>
          <w:b/>
          <w:b/>
          <w:bCs/>
          <w:sz w:val="28"/>
          <w:szCs w:val="28"/>
          <w:u w:val="single"/>
        </w:rPr>
      </w:pPr>
      <w:r>
        <w:rPr>
          <w:b/>
          <w:bCs/>
          <w:sz w:val="28"/>
          <w:szCs w:val="28"/>
          <w:u w:val="single"/>
        </w:rPr>
      </w:r>
    </w:p>
    <w:p>
      <w:pPr>
        <w:pStyle w:val="Normal"/>
        <w:numPr>
          <w:ilvl w:val="0"/>
          <w:numId w:val="1"/>
        </w:numPr>
        <w:spacing w:before="0" w:after="60"/>
        <w:ind w:left="1077" w:hanging="357"/>
        <w:rPr>
          <w:b/>
          <w:b/>
          <w:sz w:val="28"/>
          <w:szCs w:val="28"/>
        </w:rPr>
      </w:pPr>
      <w:r>
        <w:rPr>
          <w:b/>
          <w:sz w:val="28"/>
          <w:szCs w:val="28"/>
        </w:rPr>
        <w:t xml:space="preserve">Apologies:  </w:t>
      </w:r>
      <w:r>
        <w:rPr/>
        <w:t>To receive apologies and to approve reasons for absence.</w:t>
      </w:r>
    </w:p>
    <w:p>
      <w:pPr>
        <w:pStyle w:val="Normal"/>
        <w:numPr>
          <w:ilvl w:val="0"/>
          <w:numId w:val="1"/>
        </w:numPr>
        <w:rPr>
          <w:b/>
          <w:b/>
          <w:sz w:val="20"/>
          <w:szCs w:val="20"/>
        </w:rPr>
      </w:pPr>
      <w:r>
        <w:rPr>
          <w:b/>
          <w:sz w:val="28"/>
          <w:szCs w:val="28"/>
        </w:rPr>
        <w:t xml:space="preserve">Declarations of Interest </w:t>
      </w:r>
    </w:p>
    <w:p>
      <w:pPr>
        <w:pStyle w:val="Normal"/>
        <w:numPr>
          <w:ilvl w:val="1"/>
          <w:numId w:val="1"/>
        </w:numPr>
        <w:rPr/>
      </w:pPr>
      <w:r>
        <w:rPr/>
        <w:t xml:space="preserve">Register of Interests. </w:t>
      </w:r>
    </w:p>
    <w:p>
      <w:pPr>
        <w:pStyle w:val="Normal"/>
        <w:numPr>
          <w:ilvl w:val="1"/>
          <w:numId w:val="1"/>
        </w:numPr>
        <w:rPr/>
      </w:pPr>
      <w:r>
        <w:rPr/>
        <w:t xml:space="preserve">To declare any personal interests in items on the agenda and their nature. </w:t>
      </w:r>
    </w:p>
    <w:p>
      <w:pPr>
        <w:pStyle w:val="Normal"/>
        <w:numPr>
          <w:ilvl w:val="1"/>
          <w:numId w:val="1"/>
        </w:numPr>
        <w:spacing w:before="0" w:after="60"/>
        <w:ind w:left="1797" w:hanging="357"/>
        <w:rPr/>
      </w:pPr>
      <w:r>
        <w:rPr/>
        <w:t>To declare any prejudicial interests in items on the agenda and their nature. (Councillors with prejudicial interests must leave the room for the relevant items)</w:t>
      </w:r>
    </w:p>
    <w:p>
      <w:pPr>
        <w:pStyle w:val="Normal"/>
        <w:numPr>
          <w:ilvl w:val="0"/>
          <w:numId w:val="1"/>
        </w:numPr>
        <w:rPr>
          <w:b/>
          <w:b/>
          <w:sz w:val="28"/>
          <w:szCs w:val="28"/>
        </w:rPr>
      </w:pPr>
      <w:r>
        <w:rPr>
          <w:b/>
          <w:sz w:val="28"/>
          <w:szCs w:val="28"/>
        </w:rPr>
        <w:t xml:space="preserve">Minutes of the Previous Meeting (30/03/2022) </w:t>
      </w:r>
    </w:p>
    <w:p>
      <w:pPr>
        <w:pStyle w:val="Normal"/>
        <w:ind w:left="1440" w:hanging="0"/>
        <w:rPr>
          <w:b/>
          <w:b/>
          <w:sz w:val="28"/>
          <w:szCs w:val="28"/>
        </w:rPr>
      </w:pPr>
      <w:r>
        <w:rPr/>
        <w:t xml:space="preserve">To consider the approval of the draft minutes of the Parish Council held on 30th March 2022. </w:t>
      </w:r>
    </w:p>
    <w:p>
      <w:pPr>
        <w:pStyle w:val="Normal"/>
        <w:numPr>
          <w:ilvl w:val="0"/>
          <w:numId w:val="1"/>
        </w:numPr>
        <w:rPr/>
      </w:pPr>
      <w:r>
        <w:rPr>
          <w:b/>
          <w:sz w:val="28"/>
          <w:szCs w:val="28"/>
        </w:rPr>
        <w:t xml:space="preserve">Matters Outstanding </w:t>
      </w:r>
    </w:p>
    <w:p>
      <w:pPr>
        <w:pStyle w:val="Normal"/>
        <w:numPr>
          <w:ilvl w:val="1"/>
          <w:numId w:val="1"/>
        </w:numPr>
        <w:rPr>
          <w:b/>
          <w:b/>
          <w:sz w:val="28"/>
          <w:szCs w:val="28"/>
        </w:rPr>
      </w:pPr>
      <w:r>
        <w:rPr/>
        <w:t>Chimney Down (S106) – To report on the reinstatement of signs &amp; consider further signage/quotes. Arrange meeting of the Working Group to submit S106</w:t>
      </w:r>
    </w:p>
    <w:p>
      <w:pPr>
        <w:pStyle w:val="Normal"/>
        <w:numPr>
          <w:ilvl w:val="1"/>
          <w:numId w:val="1"/>
        </w:numPr>
        <w:rPr>
          <w:b/>
          <w:b/>
          <w:sz w:val="28"/>
          <w:szCs w:val="28"/>
        </w:rPr>
      </w:pPr>
      <w:r>
        <w:rPr/>
        <w:t>Jubilee – report and update from the Working Group for the Beacon Lighting 2</w:t>
      </w:r>
      <w:r>
        <w:rPr>
          <w:vertAlign w:val="superscript"/>
        </w:rPr>
        <w:t>nd</w:t>
      </w:r>
      <w:r>
        <w:rPr/>
        <w:t xml:space="preserve"> June                          Jubilee Mugs and their distribution including the photo competition.</w:t>
      </w:r>
    </w:p>
    <w:p>
      <w:pPr>
        <w:pStyle w:val="Normal"/>
        <w:numPr>
          <w:ilvl w:val="1"/>
          <w:numId w:val="1"/>
        </w:numPr>
        <w:rPr>
          <w:b/>
          <w:b/>
          <w:sz w:val="28"/>
          <w:szCs w:val="28"/>
        </w:rPr>
      </w:pPr>
      <w:r>
        <w:rPr/>
        <w:t>The Parish Paths Partnership – update</w:t>
      </w:r>
    </w:p>
    <w:p>
      <w:pPr>
        <w:pStyle w:val="Normal"/>
        <w:numPr>
          <w:ilvl w:val="1"/>
          <w:numId w:val="1"/>
        </w:numPr>
        <w:rPr>
          <w:b/>
          <w:b/>
        </w:rPr>
      </w:pPr>
      <w:r>
        <w:rPr/>
        <w:t>Defibrillator - update</w:t>
      </w:r>
    </w:p>
    <w:p>
      <w:pPr>
        <w:pStyle w:val="Normal"/>
        <w:numPr>
          <w:ilvl w:val="0"/>
          <w:numId w:val="1"/>
        </w:numPr>
        <w:spacing w:before="0" w:after="60"/>
        <w:ind w:left="1066" w:hanging="357"/>
        <w:rPr>
          <w:b/>
          <w:b/>
          <w:bCs/>
          <w:sz w:val="28"/>
          <w:szCs w:val="28"/>
        </w:rPr>
      </w:pPr>
      <w:r>
        <w:rPr>
          <w:b/>
          <w:sz w:val="28"/>
          <w:szCs w:val="28"/>
        </w:rPr>
        <w:t>Planning applications for comment</w:t>
      </w:r>
    </w:p>
    <w:p>
      <w:pPr>
        <w:pStyle w:val="ListParagraph"/>
        <w:numPr>
          <w:ilvl w:val="1"/>
          <w:numId w:val="1"/>
        </w:numPr>
        <w:spacing w:before="0" w:after="60"/>
        <w:ind w:left="1797" w:hanging="357"/>
        <w:contextualSpacing/>
        <w:rPr>
          <w:lang w:eastAsia="ja-JP"/>
        </w:rPr>
      </w:pPr>
      <w:r>
        <w:rPr>
          <w:b/>
          <w:bCs/>
          <w:lang w:eastAsia="ja-JP"/>
        </w:rPr>
        <w:t>22/00890/HOUSE</w:t>
      </w:r>
      <w:r>
        <w:rPr>
          <w:lang w:eastAsia="ja-JP"/>
        </w:rPr>
        <w:t xml:space="preserve"> Erection of single storey annex Location: Highwood Farm Uplowman Site Vicinity Grid Ref: 299655 / 118051 Parish: Huntsham Erection of single storey annex</w:t>
      </w:r>
    </w:p>
    <w:p>
      <w:pPr>
        <w:pStyle w:val="Normal"/>
        <w:spacing w:before="0" w:after="60"/>
        <w:ind w:left="1701" w:hanging="709"/>
        <w:rPr>
          <w:b/>
          <w:b/>
          <w:bCs/>
          <w:sz w:val="28"/>
          <w:szCs w:val="28"/>
        </w:rPr>
      </w:pPr>
      <w:r>
        <w:rPr>
          <w:b/>
          <w:sz w:val="28"/>
          <w:szCs w:val="28"/>
        </w:rPr>
        <w:t>Planning permissions granted</w:t>
      </w:r>
      <w:r>
        <w:rPr>
          <w:b/>
          <w:bCs/>
          <w:sz w:val="28"/>
          <w:szCs w:val="28"/>
        </w:rPr>
        <w:t xml:space="preserve"> </w:t>
      </w:r>
      <w:r>
        <w:rPr>
          <w:b/>
          <w:bCs/>
          <w:sz w:val="16"/>
          <w:szCs w:val="16"/>
        </w:rPr>
        <w:t>For full conditions please refer to Mid Devon District Council’s planning portal</w:t>
      </w:r>
    </w:p>
    <w:p>
      <w:pPr>
        <w:pStyle w:val="ListParagraph"/>
        <w:numPr>
          <w:ilvl w:val="1"/>
          <w:numId w:val="1"/>
        </w:numPr>
        <w:rPr>
          <w:b/>
          <w:b/>
          <w:bCs/>
          <w:lang w:eastAsia="ja-JP"/>
        </w:rPr>
      </w:pPr>
      <w:r>
        <w:rPr>
          <w:b/>
          <w:bCs/>
          <w:lang w:eastAsia="ja-JP"/>
        </w:rPr>
        <w:t xml:space="preserve">22/00581/HOUSE </w:t>
      </w:r>
      <w:r>
        <w:rPr>
          <w:lang w:eastAsia="ja-JP"/>
        </w:rPr>
        <w:t>Alterations to the South, East and West elevations of the annexe</w:t>
        <w:br/>
        <w:t xml:space="preserve">Location: Hockworthy House Hockworthy Devon </w:t>
      </w:r>
    </w:p>
    <w:p>
      <w:pPr>
        <w:pStyle w:val="ListParagraph"/>
        <w:ind w:left="1800" w:hanging="0"/>
        <w:rPr>
          <w:b/>
          <w:b/>
          <w:bCs/>
          <w:lang w:eastAsia="ja-JP"/>
        </w:rPr>
      </w:pPr>
      <w:r>
        <w:rPr>
          <w:lang w:eastAsia="ja-JP"/>
        </w:rPr>
        <w:t>Site Vicinity Grid Ref: 304063 / 119525 Hockworthy</w:t>
      </w:r>
      <w:r>
        <w:rPr>
          <w:b/>
          <w:bCs/>
          <w:lang w:eastAsia="ja-JP"/>
        </w:rPr>
        <w:t xml:space="preserve"> </w:t>
      </w:r>
    </w:p>
    <w:p>
      <w:pPr>
        <w:pStyle w:val="ListParagraph"/>
        <w:numPr>
          <w:ilvl w:val="1"/>
          <w:numId w:val="1"/>
        </w:numPr>
        <w:rPr>
          <w:b/>
          <w:b/>
          <w:bCs/>
          <w:lang w:eastAsia="ja-JP"/>
        </w:rPr>
      </w:pPr>
      <w:r>
        <w:rPr>
          <w:b/>
          <w:bCs/>
          <w:lang w:eastAsia="ja-JP"/>
        </w:rPr>
        <w:t xml:space="preserve">22/00167/FULL </w:t>
      </w:r>
      <w:r>
        <w:rPr>
          <w:lang w:eastAsia="ja-JP"/>
        </w:rPr>
        <w:t xml:space="preserve">Conversion of barn to dwelling </w:t>
      </w:r>
    </w:p>
    <w:p>
      <w:pPr>
        <w:pStyle w:val="ListParagraph"/>
        <w:ind w:left="1800" w:hanging="0"/>
        <w:rPr>
          <w:b/>
          <w:b/>
          <w:bCs/>
          <w:lang w:eastAsia="ja-JP"/>
        </w:rPr>
      </w:pPr>
      <w:r>
        <w:rPr>
          <w:lang w:eastAsia="ja-JP"/>
        </w:rPr>
        <w:t>Location: Land and Buildings at NGR 303055 120994 (Stallenge Thorne) Hockworthy</w:t>
        <w:br/>
        <w:t>Site Vicinity Grid Ref: 303043 / 120944 Hockworthy</w:t>
      </w:r>
      <w:r>
        <w:rPr>
          <w:b/>
          <w:bCs/>
          <w:lang w:eastAsia="ja-JP"/>
        </w:rPr>
        <w:t xml:space="preserve"> </w:t>
      </w:r>
    </w:p>
    <w:p>
      <w:pPr>
        <w:pStyle w:val="ListParagraph"/>
        <w:numPr>
          <w:ilvl w:val="1"/>
          <w:numId w:val="1"/>
        </w:numPr>
        <w:rPr>
          <w:lang w:eastAsia="ja-JP"/>
        </w:rPr>
      </w:pPr>
      <w:r>
        <w:rPr>
          <w:b/>
          <w:bCs/>
          <w:lang w:eastAsia="ja-JP"/>
        </w:rPr>
        <w:t xml:space="preserve">22/00171/LBC </w:t>
      </w:r>
      <w:r>
        <w:rPr>
          <w:lang w:eastAsia="ja-JP"/>
        </w:rPr>
        <w:t>Listed building consent for conversion of barn to dwelling Location: Land and Buildings at NGR 303055 120994 (Stallenge Thorne) Hockworthy</w:t>
      </w:r>
    </w:p>
    <w:p>
      <w:pPr>
        <w:pStyle w:val="ListParagraph"/>
        <w:ind w:left="1800" w:hanging="0"/>
        <w:rPr>
          <w:lang w:eastAsia="ja-JP"/>
        </w:rPr>
      </w:pPr>
      <w:r>
        <w:rPr>
          <w:lang w:eastAsia="ja-JP"/>
        </w:rPr>
        <w:t>Site Vicinity Grid Ref: 303043/120944 Hockworthy</w:t>
      </w:r>
    </w:p>
    <w:p>
      <w:pPr>
        <w:pStyle w:val="ListParagraph"/>
        <w:numPr>
          <w:ilvl w:val="1"/>
          <w:numId w:val="1"/>
        </w:numPr>
        <w:rPr>
          <w:lang w:eastAsia="ja-JP"/>
        </w:rPr>
      </w:pPr>
      <w:r>
        <w:rPr>
          <w:b/>
          <w:bCs/>
          <w:lang w:eastAsia="ja-JP"/>
        </w:rPr>
        <w:t xml:space="preserve">22/00129/HOUSE </w:t>
      </w:r>
      <w:r>
        <w:rPr>
          <w:lang w:eastAsia="ja-JP"/>
        </w:rPr>
        <w:t>Erection of first floor side extension and home work unit in garden</w:t>
        <w:br/>
        <w:t xml:space="preserve"> Location: Joe's Lott Huntsham Tiverton Site Vicinity Grid Ref: 300196 / 120721 Huntsham</w:t>
      </w:r>
    </w:p>
    <w:p>
      <w:pPr>
        <w:pStyle w:val="Normal"/>
        <w:ind w:left="1701" w:hanging="708"/>
        <w:rPr>
          <w:b/>
          <w:b/>
          <w:sz w:val="28"/>
          <w:szCs w:val="28"/>
        </w:rPr>
      </w:pPr>
      <w:r>
        <w:rPr>
          <w:b/>
          <w:sz w:val="28"/>
          <w:szCs w:val="28"/>
        </w:rPr>
        <w:t>Planning Permissions Awaiting Decision</w:t>
      </w:r>
    </w:p>
    <w:p>
      <w:pPr>
        <w:pStyle w:val="ListParagraph"/>
        <w:numPr>
          <w:ilvl w:val="1"/>
          <w:numId w:val="1"/>
        </w:numPr>
        <w:rPr>
          <w:lang w:eastAsia="ja-JP"/>
        </w:rPr>
      </w:pPr>
      <w:r>
        <w:rPr>
          <w:b/>
          <w:bCs/>
          <w:lang w:eastAsia="ja-JP"/>
        </w:rPr>
        <w:t xml:space="preserve">22/00036/HOUSE </w:t>
      </w:r>
      <w:r>
        <w:rPr>
          <w:lang w:eastAsia="ja-JP"/>
        </w:rPr>
        <w:t>Repair and reconstruction of garage and storage space</w:t>
        <w:br/>
        <w:t xml:space="preserve">Location: Old Rectory Clayhanger Tiverton Site Vicinity Grid Ref: 302305 / 123217 Clayhanger </w:t>
      </w:r>
    </w:p>
    <w:p>
      <w:pPr>
        <w:pStyle w:val="ListParagraph"/>
        <w:numPr>
          <w:ilvl w:val="1"/>
          <w:numId w:val="1"/>
        </w:numPr>
        <w:rPr>
          <w:lang w:eastAsia="ja-JP"/>
        </w:rPr>
      </w:pPr>
      <w:r>
        <w:rPr>
          <w:b/>
          <w:bCs/>
          <w:lang w:eastAsia="ja-JP"/>
        </w:rPr>
        <w:t xml:space="preserve">22/00038/LBC  </w:t>
      </w:r>
      <w:r>
        <w:rPr>
          <w:lang w:eastAsia="ja-JP"/>
        </w:rPr>
        <w:t>Listed Building Consent for repair and reconstruction of garage and storage space Location:</w:t>
      </w:r>
      <w:r>
        <w:rPr>
          <w:b/>
          <w:bCs/>
          <w:lang w:eastAsia="ja-JP"/>
        </w:rPr>
        <w:t xml:space="preserve"> </w:t>
      </w:r>
      <w:r>
        <w:rPr>
          <w:lang w:eastAsia="ja-JP"/>
        </w:rPr>
        <w:t xml:space="preserve">Old Rectory Clayhanger Tiverton </w:t>
        <w:tab/>
        <w:tab/>
        <w:tab/>
        <w:tab/>
        <w:tab/>
        <w:t xml:space="preserve">      Site Vicinity Grid Ref: 302305 / 123217 Clayhanger</w:t>
      </w:r>
    </w:p>
    <w:p>
      <w:pPr>
        <w:pStyle w:val="ListParagraph"/>
        <w:numPr>
          <w:ilvl w:val="1"/>
          <w:numId w:val="1"/>
        </w:numPr>
        <w:rPr>
          <w:lang w:eastAsia="ja-JP"/>
        </w:rPr>
      </w:pPr>
      <w:r>
        <w:rPr>
          <w:b/>
          <w:bCs/>
          <w:lang w:eastAsia="ja-JP"/>
        </w:rPr>
        <w:t xml:space="preserve">22/00305/HOUSE </w:t>
      </w:r>
      <w:r>
        <w:rPr>
          <w:lang w:eastAsia="ja-JP"/>
        </w:rPr>
        <w:t>Erection of single storey rear extension, Location: Handley Farm Clayhanger Devon Site Vicinity Grid Ref: 303154 / 124927 Clayhanger</w:t>
      </w:r>
    </w:p>
    <w:p>
      <w:pPr>
        <w:pStyle w:val="ListParagraph"/>
        <w:numPr>
          <w:ilvl w:val="1"/>
          <w:numId w:val="1"/>
        </w:numPr>
        <w:rPr>
          <w:lang w:eastAsia="ja-JP"/>
        </w:rPr>
      </w:pPr>
      <w:r>
        <w:rPr>
          <w:b/>
          <w:bCs/>
          <w:lang w:eastAsia="ja-JP"/>
        </w:rPr>
        <w:t xml:space="preserve">22/00306/LBC </w:t>
      </w:r>
      <w:r>
        <w:rPr>
          <w:lang w:eastAsia="ja-JP"/>
        </w:rPr>
        <w:t>Listed Building Consent for erection of single storey rear extension and</w:t>
        <w:br/>
        <w:t>installation of 2 roof lights on East elevation Location: Handley Farm Clayhanger Devon</w:t>
        <w:br/>
        <w:t xml:space="preserve">Site Vicinity Grid Ref: 303154 / 124927 Clayhanger </w:t>
      </w:r>
    </w:p>
    <w:p>
      <w:pPr>
        <w:pStyle w:val="ListParagraph"/>
        <w:numPr>
          <w:ilvl w:val="1"/>
          <w:numId w:val="1"/>
        </w:numPr>
        <w:spacing w:before="0" w:after="60"/>
        <w:ind w:left="1797" w:hanging="357"/>
        <w:contextualSpacing/>
        <w:rPr>
          <w:b/>
          <w:b/>
          <w:bCs/>
          <w:lang w:eastAsia="ja-JP"/>
        </w:rPr>
      </w:pPr>
      <w:r>
        <w:rPr>
          <w:b/>
          <w:bCs/>
          <w:lang w:eastAsia="ja-JP"/>
        </w:rPr>
        <w:t xml:space="preserve">22/00414/FULL </w:t>
      </w:r>
      <w:r>
        <w:rPr>
          <w:lang w:eastAsia="ja-JP"/>
        </w:rPr>
        <w:t>Conversion and extension of agricultural building to dwelling, to include demolition of washroom, erection of detached ancillary annexe &amp; workshop/store, ground mounted solar array &amp; associated works Location: Hele View Clayhanger Site Vicinity Grid Ref: 302963 / 123508 Clayhanger</w:t>
      </w:r>
      <w:r>
        <w:rPr>
          <w:b/>
          <w:bCs/>
          <w:lang w:eastAsia="ja-JP"/>
        </w:rPr>
        <w:t xml:space="preserve">    </w:t>
      </w:r>
    </w:p>
    <w:p>
      <w:pPr>
        <w:pStyle w:val="Normal"/>
        <w:numPr>
          <w:ilvl w:val="0"/>
          <w:numId w:val="1"/>
        </w:numPr>
        <w:rPr>
          <w:b/>
          <w:b/>
          <w:bCs/>
          <w:sz w:val="28"/>
          <w:szCs w:val="28"/>
        </w:rPr>
      </w:pPr>
      <w:r>
        <w:rPr>
          <w:b/>
          <w:bCs/>
          <w:sz w:val="28"/>
          <w:szCs w:val="28"/>
        </w:rPr>
        <w:t xml:space="preserve">Finance </w:t>
      </w:r>
    </w:p>
    <w:p>
      <w:pPr>
        <w:pStyle w:val="Normal"/>
        <w:numPr>
          <w:ilvl w:val="1"/>
          <w:numId w:val="1"/>
        </w:numPr>
        <w:rPr>
          <w:b/>
          <w:b/>
          <w:sz w:val="28"/>
          <w:szCs w:val="28"/>
        </w:rPr>
      </w:pPr>
      <w:r>
        <w:rPr>
          <w:b/>
        </w:rPr>
        <w:t>Income Received</w:t>
      </w:r>
    </w:p>
    <w:p>
      <w:pPr>
        <w:pStyle w:val="Normal"/>
        <w:numPr>
          <w:ilvl w:val="2"/>
          <w:numId w:val="1"/>
        </w:numPr>
        <w:rPr>
          <w:b/>
          <w:b/>
          <w:bCs/>
          <w:sz w:val="28"/>
          <w:szCs w:val="28"/>
        </w:rPr>
      </w:pPr>
      <w:r>
        <w:rPr>
          <w:bCs/>
        </w:rPr>
        <w:t xml:space="preserve">Precept Clayhanger </w:t>
        <w:tab/>
        <w:t>£1341.14</w:t>
      </w:r>
    </w:p>
    <w:p>
      <w:pPr>
        <w:pStyle w:val="Normal"/>
        <w:numPr>
          <w:ilvl w:val="2"/>
          <w:numId w:val="1"/>
        </w:numPr>
        <w:rPr>
          <w:b/>
          <w:b/>
          <w:bCs/>
          <w:sz w:val="28"/>
          <w:szCs w:val="28"/>
        </w:rPr>
      </w:pPr>
      <w:r>
        <w:rPr>
          <w:bCs/>
        </w:rPr>
        <w:t>Precept Huntsham</w:t>
        <w:tab/>
        <w:tab/>
        <w:t>£1491.40</w:t>
      </w:r>
    </w:p>
    <w:p>
      <w:pPr>
        <w:pStyle w:val="Normal"/>
        <w:numPr>
          <w:ilvl w:val="2"/>
          <w:numId w:val="1"/>
        </w:numPr>
        <w:rPr>
          <w:b/>
          <w:b/>
          <w:bCs/>
          <w:sz w:val="28"/>
          <w:szCs w:val="28"/>
        </w:rPr>
      </w:pPr>
      <w:r>
        <w:rPr>
          <w:bCs/>
        </w:rPr>
        <w:t>Precept Hockworthy</w:t>
        <w:tab/>
      </w:r>
      <w:r>
        <w:rPr>
          <w:bCs/>
          <w:u w:val="single"/>
        </w:rPr>
        <w:t>£1971.36</w:t>
      </w:r>
    </w:p>
    <w:p>
      <w:pPr>
        <w:pStyle w:val="Normal"/>
        <w:ind w:left="3600" w:hanging="0"/>
        <w:rPr>
          <w:b/>
          <w:b/>
          <w:bCs/>
          <w:sz w:val="28"/>
          <w:szCs w:val="28"/>
        </w:rPr>
      </w:pPr>
      <w:r>
        <w:rPr>
          <w:bCs/>
        </w:rPr>
        <w:t>Total</w:t>
        <w:tab/>
        <w:tab/>
        <w:t>£4803.90</w:t>
      </w:r>
    </w:p>
    <w:p>
      <w:pPr>
        <w:pStyle w:val="Normal"/>
        <w:numPr>
          <w:ilvl w:val="1"/>
          <w:numId w:val="1"/>
        </w:numPr>
        <w:rPr>
          <w:b/>
          <w:b/>
          <w:sz w:val="28"/>
          <w:szCs w:val="28"/>
        </w:rPr>
      </w:pPr>
      <w:r>
        <w:rPr>
          <w:b/>
        </w:rPr>
        <w:t>Expenditure for Approval</w:t>
      </w:r>
    </w:p>
    <w:p>
      <w:pPr>
        <w:pStyle w:val="Normal"/>
        <w:numPr>
          <w:ilvl w:val="2"/>
          <w:numId w:val="1"/>
        </w:numPr>
        <w:rPr>
          <w:b/>
          <w:b/>
          <w:bCs/>
          <w:sz w:val="28"/>
          <w:szCs w:val="28"/>
        </w:rPr>
      </w:pPr>
      <w:r>
        <w:rPr>
          <w:bCs/>
        </w:rPr>
        <w:t>Clerk’s wages for May £200 and June £200 (including payments to HMRC)</w:t>
      </w:r>
    </w:p>
    <w:p>
      <w:pPr>
        <w:pStyle w:val="Normal"/>
        <w:numPr>
          <w:ilvl w:val="2"/>
          <w:numId w:val="1"/>
        </w:numPr>
        <w:rPr>
          <w:b/>
          <w:b/>
          <w:bCs/>
          <w:sz w:val="28"/>
          <w:szCs w:val="28"/>
        </w:rPr>
      </w:pPr>
      <w:r>
        <w:rPr>
          <w:bCs/>
        </w:rPr>
        <w:t>DALC (NALC Affiliation, DALC Service Charge, DALC Affiliation) £104.01</w:t>
      </w:r>
    </w:p>
    <w:p>
      <w:pPr>
        <w:pStyle w:val="Normal"/>
        <w:ind w:left="2520" w:hanging="0"/>
        <w:rPr>
          <w:b/>
          <w:b/>
          <w:bCs/>
          <w:sz w:val="28"/>
          <w:szCs w:val="28"/>
        </w:rPr>
      </w:pPr>
      <w:r>
        <w:rPr>
          <w:bCs/>
        </w:rPr>
        <w:t>(due 1</w:t>
      </w:r>
      <w:r>
        <w:rPr>
          <w:bCs/>
          <w:vertAlign w:val="superscript"/>
        </w:rPr>
        <w:t>st</w:t>
      </w:r>
      <w:r>
        <w:rPr>
          <w:bCs/>
        </w:rPr>
        <w:t xml:space="preserve"> May and therefore already paid)</w:t>
      </w:r>
    </w:p>
    <w:p>
      <w:pPr>
        <w:pStyle w:val="Normal"/>
        <w:numPr>
          <w:ilvl w:val="2"/>
          <w:numId w:val="1"/>
        </w:numPr>
        <w:rPr>
          <w:b/>
          <w:b/>
          <w:bCs/>
          <w:sz w:val="28"/>
          <w:szCs w:val="28"/>
        </w:rPr>
      </w:pPr>
      <w:r>
        <w:rPr>
          <w:bCs/>
        </w:rPr>
        <w:t>Internal Auditor’s Fee D J Goodall £50</w:t>
      </w:r>
    </w:p>
    <w:p>
      <w:pPr>
        <w:pStyle w:val="Normal"/>
        <w:numPr>
          <w:ilvl w:val="2"/>
          <w:numId w:val="1"/>
        </w:numPr>
        <w:spacing w:before="0" w:after="60"/>
        <w:ind w:left="2523" w:hanging="181"/>
        <w:rPr>
          <w:b/>
          <w:b/>
          <w:bCs/>
          <w:sz w:val="28"/>
          <w:szCs w:val="28"/>
        </w:rPr>
      </w:pPr>
      <w:r>
        <w:rPr>
          <w:bCs/>
        </w:rPr>
        <w:t>Clayhanger WI Hall Meeting Hire £10</w:t>
      </w:r>
    </w:p>
    <w:p>
      <w:pPr>
        <w:pStyle w:val="Normal"/>
        <w:numPr>
          <w:ilvl w:val="1"/>
          <w:numId w:val="1"/>
        </w:numPr>
        <w:rPr>
          <w:b/>
          <w:b/>
        </w:rPr>
      </w:pPr>
      <w:r>
        <w:rPr>
          <w:b/>
        </w:rPr>
        <w:t>AGAR</w:t>
      </w:r>
    </w:p>
    <w:p>
      <w:pPr>
        <w:pStyle w:val="Normal"/>
        <w:numPr>
          <w:ilvl w:val="2"/>
          <w:numId w:val="1"/>
        </w:numPr>
        <w:rPr>
          <w:bCs/>
        </w:rPr>
      </w:pPr>
      <w:r>
        <w:rPr>
          <w:bCs/>
        </w:rPr>
        <w:t>Internal Audit report – to consider</w:t>
      </w:r>
    </w:p>
    <w:p>
      <w:pPr>
        <w:pStyle w:val="Normal"/>
        <w:numPr>
          <w:ilvl w:val="2"/>
          <w:numId w:val="1"/>
        </w:numPr>
        <w:rPr>
          <w:bCs/>
        </w:rPr>
      </w:pPr>
      <w:r>
        <w:rPr>
          <w:bCs/>
        </w:rPr>
        <w:t>Annual Governance Statement - for approval</w:t>
      </w:r>
    </w:p>
    <w:p>
      <w:pPr>
        <w:pStyle w:val="Normal"/>
        <w:numPr>
          <w:ilvl w:val="2"/>
          <w:numId w:val="1"/>
        </w:numPr>
        <w:rPr>
          <w:bCs/>
        </w:rPr>
      </w:pPr>
      <w:r>
        <w:rPr>
          <w:bCs/>
        </w:rPr>
        <w:t>Accounting Statements - for approval</w:t>
      </w:r>
    </w:p>
    <w:p>
      <w:pPr>
        <w:pStyle w:val="Normal"/>
        <w:numPr>
          <w:ilvl w:val="2"/>
          <w:numId w:val="1"/>
        </w:numPr>
        <w:spacing w:before="0" w:after="60"/>
        <w:ind w:left="2523" w:hanging="181"/>
        <w:rPr>
          <w:bCs/>
        </w:rPr>
      </w:pPr>
      <w:r>
        <w:rPr>
          <w:bCs/>
        </w:rPr>
        <w:t>Certificate of Exemption - for approval</w:t>
      </w:r>
    </w:p>
    <w:p>
      <w:pPr>
        <w:pStyle w:val="Normal"/>
        <w:numPr>
          <w:ilvl w:val="1"/>
          <w:numId w:val="1"/>
        </w:numPr>
        <w:spacing w:before="0" w:after="80"/>
        <w:ind w:left="1797" w:hanging="357"/>
        <w:rPr>
          <w:bCs/>
        </w:rPr>
      </w:pPr>
      <w:r>
        <w:rPr>
          <w:b/>
        </w:rPr>
        <w:t xml:space="preserve">Bank Reconciliation 31st March 2022 - </w:t>
      </w:r>
      <w:r>
        <w:rPr>
          <w:bCs/>
        </w:rPr>
        <w:t>For information</w:t>
      </w:r>
    </w:p>
    <w:p>
      <w:pPr>
        <w:pStyle w:val="Normal"/>
        <w:numPr>
          <w:ilvl w:val="0"/>
          <w:numId w:val="1"/>
        </w:numPr>
        <w:rPr>
          <w:b/>
          <w:b/>
          <w:bCs/>
          <w:sz w:val="28"/>
          <w:szCs w:val="28"/>
        </w:rPr>
      </w:pPr>
      <w:r>
        <w:rPr>
          <w:b/>
          <w:bCs/>
          <w:sz w:val="28"/>
          <w:szCs w:val="28"/>
        </w:rPr>
        <w:t>To review &amp; adopt an updated Code of Conduct</w:t>
        <w:tab/>
        <w:tab/>
        <w:tab/>
        <w:tab/>
        <w:tab/>
        <w:tab/>
      </w:r>
      <w:r>
        <w:rPr/>
        <w:t>(Local Government Association Model 2022)</w:t>
      </w:r>
    </w:p>
    <w:p>
      <w:pPr>
        <w:pStyle w:val="Normal"/>
        <w:numPr>
          <w:ilvl w:val="0"/>
          <w:numId w:val="1"/>
        </w:numPr>
        <w:spacing w:before="0" w:after="60"/>
        <w:ind w:left="1077" w:hanging="360"/>
        <w:rPr>
          <w:b/>
          <w:b/>
          <w:bCs/>
          <w:sz w:val="28"/>
          <w:szCs w:val="28"/>
        </w:rPr>
      </w:pPr>
      <w:r>
        <w:rPr>
          <w:b/>
          <w:bCs/>
          <w:sz w:val="28"/>
          <w:szCs w:val="28"/>
        </w:rPr>
        <w:t xml:space="preserve">Police report – </w:t>
      </w:r>
      <w:r>
        <w:rPr/>
        <w:t>To include</w:t>
      </w:r>
      <w:r>
        <w:rPr>
          <w:b/>
          <w:bCs/>
        </w:rPr>
        <w:t xml:space="preserve"> </w:t>
      </w:r>
      <w:r>
        <w:rPr>
          <w:bCs/>
        </w:rPr>
        <w:t>report from Cllr Maltby.</w:t>
      </w:r>
    </w:p>
    <w:p>
      <w:pPr>
        <w:pStyle w:val="Normal"/>
        <w:numPr>
          <w:ilvl w:val="0"/>
          <w:numId w:val="1"/>
        </w:numPr>
        <w:spacing w:before="0" w:after="60"/>
        <w:ind w:left="1077" w:hanging="360"/>
        <w:rPr>
          <w:b/>
          <w:b/>
          <w:bCs/>
          <w:sz w:val="28"/>
          <w:szCs w:val="28"/>
        </w:rPr>
      </w:pPr>
      <w:r>
        <w:rPr>
          <w:b/>
          <w:bCs/>
          <w:sz w:val="28"/>
          <w:szCs w:val="28"/>
        </w:rPr>
        <w:t xml:space="preserve">District and County councillors’ reports for information.  </w:t>
      </w:r>
    </w:p>
    <w:p>
      <w:pPr>
        <w:pStyle w:val="Normal"/>
        <w:numPr>
          <w:ilvl w:val="0"/>
          <w:numId w:val="1"/>
        </w:numPr>
        <w:spacing w:before="0" w:after="60"/>
        <w:ind w:left="1077" w:hanging="513"/>
        <w:rPr>
          <w:bCs/>
        </w:rPr>
      </w:pPr>
      <w:r>
        <w:rPr>
          <w:b/>
          <w:bCs/>
          <w:sz w:val="28"/>
          <w:szCs w:val="28"/>
        </w:rPr>
        <w:t>Correspondence for information</w:t>
      </w:r>
    </w:p>
    <w:p>
      <w:pPr>
        <w:pStyle w:val="Normal"/>
        <w:numPr>
          <w:ilvl w:val="0"/>
          <w:numId w:val="1"/>
        </w:numPr>
        <w:spacing w:before="0" w:after="60"/>
        <w:ind w:left="1077" w:hanging="513"/>
        <w:rPr>
          <w:sz w:val="28"/>
          <w:szCs w:val="28"/>
        </w:rPr>
      </w:pPr>
      <w:r>
        <w:rPr>
          <w:b/>
          <w:bCs/>
          <w:sz w:val="28"/>
          <w:szCs w:val="28"/>
        </w:rPr>
        <w:t xml:space="preserve">Clerk’s report </w:t>
      </w:r>
      <w:r>
        <w:rPr/>
        <w:t>(Including urgent decisions since the last meeting)</w:t>
      </w:r>
      <w:r>
        <w:rPr>
          <w:sz w:val="28"/>
          <w:szCs w:val="28"/>
        </w:rPr>
        <w:t xml:space="preserve"> </w:t>
      </w:r>
    </w:p>
    <w:p>
      <w:pPr>
        <w:pStyle w:val="Normal"/>
        <w:numPr>
          <w:ilvl w:val="0"/>
          <w:numId w:val="1"/>
        </w:numPr>
        <w:ind w:left="1070" w:hanging="513"/>
        <w:rPr>
          <w:b/>
          <w:b/>
          <w:bCs/>
          <w:sz w:val="20"/>
          <w:szCs w:val="20"/>
        </w:rPr>
      </w:pPr>
      <w:r>
        <w:rPr>
          <w:b/>
          <w:bCs/>
          <w:sz w:val="28"/>
          <w:szCs w:val="28"/>
        </w:rPr>
        <w:t>Councillors’ reports and items for future agendas</w:t>
      </w:r>
      <w:r>
        <w:rPr>
          <w:b/>
          <w:bCs/>
          <w:sz w:val="20"/>
          <w:szCs w:val="20"/>
        </w:rPr>
        <w:t xml:space="preserve"> </w:t>
      </w:r>
    </w:p>
    <w:p>
      <w:pPr>
        <w:pStyle w:val="Normal"/>
        <w:ind w:left="1440" w:hanging="0"/>
        <w:rPr>
          <w:bCs/>
        </w:rPr>
      </w:pPr>
      <w:r>
        <w:rPr>
          <w:bCs/>
        </w:rPr>
        <w:t>Councillors are respectfully reminded that this is not an opportunity for debate or decision making.</w:t>
      </w:r>
    </w:p>
    <w:p>
      <w:pPr>
        <w:pStyle w:val="Normal"/>
        <w:numPr>
          <w:ilvl w:val="0"/>
          <w:numId w:val="1"/>
        </w:numPr>
        <w:ind w:left="1070" w:hanging="513"/>
        <w:rPr>
          <w:b/>
          <w:b/>
          <w:bCs/>
        </w:rPr>
      </w:pPr>
      <w:r>
        <w:rPr>
          <w:b/>
          <w:bCs/>
          <w:sz w:val="28"/>
          <w:szCs w:val="28"/>
        </w:rPr>
        <w:t>Date of next meeting</w:t>
      </w:r>
      <w:r>
        <w:rPr>
          <w:b/>
          <w:bCs/>
          <w:sz w:val="32"/>
          <w:szCs w:val="32"/>
        </w:rPr>
        <w:t xml:space="preserve"> </w:t>
      </w:r>
      <w:r>
        <w:rPr>
          <w:bCs/>
        </w:rPr>
        <w:t>– to confirm the date of the next meeting &amp; arrange meeting schedule for the coming year.</w:t>
      </w:r>
    </w:p>
    <w:p>
      <w:pPr>
        <w:pStyle w:val="Normal"/>
        <w:ind w:left="1080" w:hanging="0"/>
        <w:rPr>
          <w:rFonts w:ascii="Bradley Hand ITC" w:hAnsi="Bradley Hand ITC"/>
          <w:b/>
          <w:b/>
          <w:bCs/>
          <w:sz w:val="32"/>
          <w:szCs w:val="32"/>
        </w:rPr>
      </w:pPr>
      <w:r>
        <w:rPr>
          <w:rFonts w:ascii="Bradley Hand ITC" w:hAnsi="Bradley Hand ITC"/>
          <w:b/>
          <w:bCs/>
          <w:sz w:val="32"/>
          <w:szCs w:val="32"/>
        </w:rPr>
      </w:r>
    </w:p>
    <w:p>
      <w:pPr>
        <w:pStyle w:val="Normal"/>
        <w:ind w:left="1080" w:hanging="0"/>
        <w:rPr>
          <w:rFonts w:ascii="Bradley Hand ITC" w:hAnsi="Bradley Hand ITC"/>
          <w:b/>
          <w:b/>
          <w:bCs/>
          <w:sz w:val="28"/>
          <w:szCs w:val="28"/>
        </w:rPr>
      </w:pPr>
      <w:r>
        <w:rPr>
          <w:rFonts w:ascii="Bradley Hand ITC" w:hAnsi="Bradley Hand ITC"/>
          <w:b/>
          <w:bCs/>
          <w:sz w:val="32"/>
          <w:szCs w:val="32"/>
        </w:rPr>
        <w:t>Patricia Bainbridge</w:t>
      </w:r>
      <w:r>
        <w:rPr>
          <w:rFonts w:ascii="Bradley Hand ITC" w:hAnsi="Bradley Hand ITC"/>
          <w:b/>
          <w:bCs/>
          <w:sz w:val="28"/>
          <w:szCs w:val="28"/>
        </w:rPr>
        <w:t xml:space="preserve"> </w:t>
      </w:r>
    </w:p>
    <w:p>
      <w:pPr>
        <w:pStyle w:val="Normal"/>
        <w:ind w:left="1080" w:hanging="0"/>
        <w:rPr>
          <w:sz w:val="28"/>
          <w:szCs w:val="28"/>
        </w:rPr>
      </w:pPr>
      <w:r>
        <w:rPr>
          <w:sz w:val="28"/>
          <w:szCs w:val="28"/>
        </w:rPr>
        <w:t>Clerk to Borden Gate Parish Council</w:t>
      </w:r>
    </w:p>
    <w:p>
      <w:pPr>
        <w:pStyle w:val="Normal"/>
        <w:ind w:left="1080" w:hanging="0"/>
        <w:rPr>
          <w:rFonts w:ascii="Bradley Hand ITC" w:hAnsi="Bradley Hand ITC"/>
          <w:b/>
          <w:b/>
          <w:bCs/>
          <w:sz w:val="28"/>
          <w:szCs w:val="28"/>
        </w:rPr>
      </w:pPr>
      <w:r>
        <w:rPr>
          <w:sz w:val="28"/>
          <w:szCs w:val="28"/>
        </w:rPr>
        <w:t>12</w:t>
      </w:r>
      <w:r>
        <w:rPr>
          <w:sz w:val="28"/>
          <w:szCs w:val="28"/>
          <w:vertAlign w:val="superscript"/>
        </w:rPr>
        <w:t>th</w:t>
      </w:r>
      <w:r>
        <w:rPr>
          <w:sz w:val="28"/>
          <w:szCs w:val="28"/>
        </w:rPr>
        <w:t xml:space="preserve"> May 2022</w:t>
      </w:r>
    </w:p>
    <w:sectPr>
      <w:type w:val="nextPage"/>
      <w:pgSz w:w="11906" w:h="16838"/>
      <w:pgMar w:left="567" w:right="567" w:header="0" w:top="567" w:footer="0" w:bottom="56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Segoe UI">
    <w:charset w:val="00"/>
    <w:family w:val="roman"/>
    <w:pitch w:val="variable"/>
  </w:font>
  <w:font w:name="Calibri">
    <w:charset w:val="00"/>
    <w:family w:val="roman"/>
    <w:pitch w:val="variable"/>
  </w:font>
  <w:font w:name="Liberation Sans">
    <w:altName w:val="Arial"/>
    <w:charset w:val="00"/>
    <w:family w:val="roman"/>
    <w:pitch w:val="variable"/>
  </w:font>
  <w:font w:name="Liberation Mono">
    <w:altName w:val="Courier New"/>
    <w:charset w:val="00"/>
    <w:family w:val="roman"/>
    <w:pitch w:val="variable"/>
  </w:font>
  <w:font w:name="Bradley Hand ITC">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070"/>
        </w:tabs>
        <w:ind w:left="1070" w:hanging="360"/>
      </w:pPr>
      <w:rPr>
        <w:sz w:val="28"/>
        <w:b/>
        <w:szCs w:val="28"/>
        <w:bCs/>
      </w:rPr>
    </w:lvl>
    <w:lvl w:ilvl="1">
      <w:start w:val="1"/>
      <w:numFmt w:val="lowerLetter"/>
      <w:lvlText w:val="%2."/>
      <w:lvlJc w:val="left"/>
      <w:pPr>
        <w:tabs>
          <w:tab w:val="num" w:pos="1800"/>
        </w:tabs>
        <w:ind w:left="1800" w:hanging="360"/>
      </w:pPr>
      <w:rPr>
        <w:sz w:val="24"/>
        <w:b/>
        <w:szCs w:val="24"/>
        <w:bCs/>
      </w:rPr>
    </w:lvl>
    <w:lvl w:ilvl="2">
      <w:start w:val="1"/>
      <w:numFmt w:val="lowerRoman"/>
      <w:lvlText w:val="%3."/>
      <w:lvlJc w:val="right"/>
      <w:pPr>
        <w:tabs>
          <w:tab w:val="num" w:pos="2520"/>
        </w:tabs>
        <w:ind w:left="2520" w:hanging="180"/>
      </w:pPr>
      <w:rPr>
        <w:b w:val="false"/>
        <w:bCs w:val="false"/>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val="bestFit" w:percent="205"/>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ja-JP"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ja-JP"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Normal"/>
    <w:next w:val="Normal"/>
    <w:qFormat/>
    <w:rsid w:val="006d3e24"/>
    <w:pPr>
      <w:keepNext w:val="true"/>
      <w:spacing w:before="240" w:after="60"/>
      <w:outlineLvl w:val="0"/>
    </w:pPr>
    <w:rPr>
      <w:rFonts w:ascii="Arial" w:hAnsi="Arial" w:cs="Arial"/>
      <w:b/>
      <w:bCs/>
      <w:kern w:val="2"/>
      <w:sz w:val="32"/>
      <w:szCs w:val="32"/>
    </w:rPr>
  </w:style>
  <w:style w:type="character" w:styleId="DefaultParagraphFont" w:default="1">
    <w:name w:val="Default Paragraph Font"/>
    <w:uiPriority w:val="1"/>
    <w:semiHidden/>
    <w:unhideWhenUsed/>
    <w:qFormat/>
    <w:rPr/>
  </w:style>
  <w:style w:type="character" w:styleId="InternetLink">
    <w:name w:val="Hyperlink"/>
    <w:rsid w:val="00003988"/>
    <w:rPr>
      <w:color w:val="0000FF"/>
      <w:u w:val="single"/>
    </w:rPr>
  </w:style>
  <w:style w:type="character" w:styleId="BalloonTextChar" w:customStyle="1">
    <w:name w:val="Balloon Text Char"/>
    <w:link w:val="BalloonText"/>
    <w:qFormat/>
    <w:rsid w:val="009d675d"/>
    <w:rPr>
      <w:rFonts w:ascii="Segoe UI" w:hAnsi="Segoe UI" w:cs="Segoe UI"/>
      <w:sz w:val="18"/>
      <w:szCs w:val="18"/>
    </w:rPr>
  </w:style>
  <w:style w:type="character" w:styleId="PlainTextChar" w:customStyle="1">
    <w:name w:val="Plain Text Char"/>
    <w:basedOn w:val="DefaultParagraphFont"/>
    <w:link w:val="PlainText"/>
    <w:uiPriority w:val="99"/>
    <w:qFormat/>
    <w:rsid w:val="00964ee1"/>
    <w:rPr>
      <w:rFonts w:ascii="Calibri" w:hAnsi="Calibri" w:eastAsia="Calibri" w:cs="Arial" w:cstheme="minorBidi" w:eastAsiaTheme="minorHAnsi"/>
      <w:sz w:val="22"/>
      <w:szCs w:val="21"/>
      <w:lang w:val="en-GB" w:eastAsia="en-US"/>
    </w:rPr>
  </w:style>
  <w:style w:type="character" w:styleId="HeaderChar" w:customStyle="1">
    <w:name w:val="Header Char"/>
    <w:basedOn w:val="DefaultParagraphFont"/>
    <w:link w:val="Header"/>
    <w:qFormat/>
    <w:rsid w:val="009c062d"/>
    <w:rPr>
      <w:sz w:val="24"/>
      <w:szCs w:val="24"/>
      <w:lang w:val="en-GB" w:eastAsia="en-GB"/>
    </w:rPr>
  </w:style>
  <w:style w:type="character" w:styleId="FooterChar" w:customStyle="1">
    <w:name w:val="Footer Char"/>
    <w:basedOn w:val="DefaultParagraphFont"/>
    <w:link w:val="Footer"/>
    <w:qFormat/>
    <w:rsid w:val="009c062d"/>
    <w:rPr>
      <w:sz w:val="24"/>
      <w:szCs w:val="24"/>
      <w:lang w:val="en-GB" w:eastAsia="en-GB"/>
    </w:rPr>
  </w:style>
  <w:style w:type="character" w:styleId="Strong">
    <w:name w:val="Strong"/>
    <w:basedOn w:val="DefaultParagraphFont"/>
    <w:qFormat/>
    <w:rsid w:val="00475aa7"/>
    <w:rPr>
      <w:b/>
      <w:bCs/>
    </w:rPr>
  </w:style>
  <w:style w:type="paragraph" w:styleId="Heading" w:customStyle="1">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Arial"/>
    </w:rPr>
  </w:style>
  <w:style w:type="paragraph" w:styleId="Caption1">
    <w:name w:val="caption"/>
    <w:basedOn w:val="Normal"/>
    <w:qFormat/>
    <w:pPr>
      <w:suppressLineNumbers/>
      <w:spacing w:before="120" w:after="120"/>
    </w:pPr>
    <w:rPr>
      <w:rFonts w:cs="Arial"/>
      <w:i/>
      <w:iCs/>
    </w:rPr>
  </w:style>
  <w:style w:type="paragraph" w:styleId="BalloonText">
    <w:name w:val="Balloon Text"/>
    <w:basedOn w:val="Normal"/>
    <w:link w:val="BalloonTextChar"/>
    <w:qFormat/>
    <w:rsid w:val="009d675d"/>
    <w:pPr/>
    <w:rPr>
      <w:rFonts w:ascii="Segoe UI" w:hAnsi="Segoe UI" w:cs="Segoe UI"/>
      <w:sz w:val="18"/>
      <w:szCs w:val="18"/>
    </w:rPr>
  </w:style>
  <w:style w:type="paragraph" w:styleId="PlainText">
    <w:name w:val="Plain Text"/>
    <w:basedOn w:val="Normal"/>
    <w:link w:val="PlainTextChar"/>
    <w:uiPriority w:val="99"/>
    <w:unhideWhenUsed/>
    <w:qFormat/>
    <w:rsid w:val="00964ee1"/>
    <w:pPr/>
    <w:rPr>
      <w:rFonts w:ascii="Calibri" w:hAnsi="Calibri" w:eastAsia="Calibri" w:cs="Arial" w:cstheme="minorBidi" w:eastAsiaTheme="minorHAnsi"/>
      <w:sz w:val="22"/>
      <w:szCs w:val="21"/>
      <w:lang w:eastAsia="en-US"/>
    </w:rPr>
  </w:style>
  <w:style w:type="paragraph" w:styleId="HeaderandFooter" w:customStyle="1">
    <w:name w:val="Header and Footer"/>
    <w:basedOn w:val="Normal"/>
    <w:qFormat/>
    <w:pPr/>
    <w:rPr/>
  </w:style>
  <w:style w:type="paragraph" w:styleId="Header">
    <w:name w:val="Header"/>
    <w:basedOn w:val="Normal"/>
    <w:link w:val="HeaderChar"/>
    <w:rsid w:val="009c062d"/>
    <w:pPr>
      <w:tabs>
        <w:tab w:val="clear" w:pos="720"/>
        <w:tab w:val="center" w:pos="4513" w:leader="none"/>
        <w:tab w:val="right" w:pos="9026" w:leader="none"/>
      </w:tabs>
    </w:pPr>
    <w:rPr/>
  </w:style>
  <w:style w:type="paragraph" w:styleId="Footer">
    <w:name w:val="Footer"/>
    <w:basedOn w:val="Normal"/>
    <w:link w:val="FooterChar"/>
    <w:rsid w:val="009c062d"/>
    <w:pPr>
      <w:tabs>
        <w:tab w:val="clear" w:pos="720"/>
        <w:tab w:val="center" w:pos="4513" w:leader="none"/>
        <w:tab w:val="right" w:pos="9026" w:leader="none"/>
      </w:tabs>
    </w:pPr>
    <w:rPr/>
  </w:style>
  <w:style w:type="paragraph" w:styleId="ListParagraph">
    <w:name w:val="List Paragraph"/>
    <w:basedOn w:val="Normal"/>
    <w:uiPriority w:val="34"/>
    <w:qFormat/>
    <w:rsid w:val="00fd14cb"/>
    <w:pPr>
      <w:spacing w:before="0" w:after="0"/>
      <w:ind w:left="720" w:hanging="0"/>
      <w:contextualSpacing/>
    </w:pPr>
    <w:rPr/>
  </w:style>
  <w:style w:type="paragraph" w:styleId="PreformattedText" w:customStyle="1">
    <w:name w:val="Preformatted Text"/>
    <w:basedOn w:val="Normal"/>
    <w:qFormat/>
    <w:pPr/>
    <w:rPr>
      <w:rFonts w:ascii="Liberation Mono" w:hAnsi="Liberation Mono" w:cs="Liberation Mono"/>
      <w:sz w:val="20"/>
      <w:szCs w:val="20"/>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Application>LibreOffice/7.0.6.2$Windows_X86_64 LibreOffice_project/144abb84a525d8e30c9dbbefa69cbbf2d8d4ae3b</Application>
  <AppVersion>15.0000</AppVersion>
  <Pages>3</Pages>
  <Words>840</Words>
  <Characters>4606</Characters>
  <CharactersWithSpaces>5414</CharactersWithSpaces>
  <Paragraphs>67</Paragraphs>
  <Company>Hazel Ridd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2022-05-11T11:06:00Z</dcterms:created>
  <dc:creator>Patricia Bainbridge</dc:creator>
  <dc:description/>
  <dc:language>en-GB</dc:language>
  <cp:lastModifiedBy>Julian Nicholson</cp:lastModifiedBy>
  <cp:lastPrinted>2022-05-12T11:06:00Z</cp:lastPrinted>
  <dcterms:modified xsi:type="dcterms:W3CDTF">2022-05-12T11:45:00Z</dcterms:modified>
  <cp:revision>15</cp:revision>
  <dc:subject/>
  <dc:title>BORDEN GATE PARISH COUNCIL</dc:title>
</cp:coreProperties>
</file>

<file path=docProps/custom.xml><?xml version="1.0" encoding="utf-8"?>
<Properties xmlns="http://schemas.openxmlformats.org/officeDocument/2006/custom-properties" xmlns:vt="http://schemas.openxmlformats.org/officeDocument/2006/docPropsVTypes"/>
</file>