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A5F2CA" w14:textId="77777777" w:rsidR="004E7B00" w:rsidRPr="007767A6" w:rsidRDefault="00513784" w:rsidP="004E7B00">
      <w:pPr>
        <w:pStyle w:val="Heading1"/>
        <w:rPr>
          <w:color w:val="00B050"/>
          <w:sz w:val="52"/>
          <w:szCs w:val="52"/>
          <w:u w:val="single"/>
        </w:rPr>
      </w:pPr>
      <w:r w:rsidRPr="007767A6">
        <w:rPr>
          <w:color w:val="00B050"/>
          <w:sz w:val="52"/>
          <w:szCs w:val="52"/>
          <w:u w:val="single"/>
        </w:rPr>
        <w:t>Webbers</w:t>
      </w:r>
    </w:p>
    <w:p w14:paraId="18600866" w14:textId="0DD19428" w:rsidR="004E7B00" w:rsidRPr="007767A6" w:rsidRDefault="00513784">
      <w:pPr>
        <w:pStyle w:val="Heading1"/>
        <w:rPr>
          <w:color w:val="00B050"/>
          <w:sz w:val="40"/>
          <w:szCs w:val="40"/>
        </w:rPr>
      </w:pPr>
      <w:r w:rsidRPr="007767A6">
        <w:rPr>
          <w:color w:val="00B050"/>
          <w:sz w:val="40"/>
          <w:szCs w:val="40"/>
        </w:rPr>
        <w:t>The story of a cottage</w:t>
      </w:r>
    </w:p>
    <w:p w14:paraId="372F02CD" w14:textId="77777777" w:rsidR="004E7B00" w:rsidRDefault="004E7B00">
      <w:pPr>
        <w:pStyle w:val="Heading1"/>
      </w:pPr>
    </w:p>
    <w:p w14:paraId="218B52D5" w14:textId="77777777" w:rsidR="00524388" w:rsidRDefault="00513784">
      <w:pPr>
        <w:pStyle w:val="Heading1"/>
      </w:pPr>
      <w:r>
        <w:rPr>
          <w:noProof/>
        </w:rPr>
        <w:drawing>
          <wp:inline distT="0" distB="0" distL="0" distR="0" wp14:anchorId="01027949" wp14:editId="56F39E77">
            <wp:extent cx="5161120" cy="3440747"/>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4268.jpeg"/>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161120" cy="3440747"/>
                    </a:xfrm>
                    <a:prstGeom prst="rect">
                      <a:avLst/>
                    </a:prstGeom>
                    <a:ln>
                      <a:noFill/>
                    </a:ln>
                    <a:extLst>
                      <a:ext uri="{53640926-AAD7-44D8-BBD7-CCE9431645EC}">
                        <a14:shadowObscured xmlns:a14="http://schemas.microsoft.com/office/drawing/2010/main"/>
                      </a:ext>
                    </a:extLst>
                  </pic:spPr>
                </pic:pic>
              </a:graphicData>
            </a:graphic>
          </wp:inline>
        </w:drawing>
      </w:r>
    </w:p>
    <w:p w14:paraId="78F57F7B" w14:textId="418DB1A7" w:rsidR="00524388" w:rsidRDefault="00FE3385" w:rsidP="004E7B00">
      <w:r>
        <w:t xml:space="preserve">There have been Webbers in </w:t>
      </w:r>
      <w:proofErr w:type="spellStart"/>
      <w:r>
        <w:t>Sydling</w:t>
      </w:r>
      <w:proofErr w:type="spellEnd"/>
      <w:r w:rsidR="00B039AF">
        <w:t xml:space="preserve"> almost</w:t>
      </w:r>
      <w:r>
        <w:t xml:space="preserve"> as long as records go bac</w:t>
      </w:r>
      <w:r w:rsidR="00B039AF">
        <w:t xml:space="preserve">k. </w:t>
      </w:r>
      <w:r w:rsidR="002C5411">
        <w:t xml:space="preserve"> In 1383 Joh</w:t>
      </w:r>
      <w:r w:rsidR="00F55620">
        <w:t>a</w:t>
      </w:r>
      <w:r w:rsidR="002C5411">
        <w:t xml:space="preserve">n </w:t>
      </w:r>
      <w:r w:rsidR="00781EBF">
        <w:t>“</w:t>
      </w:r>
      <w:proofErr w:type="spellStart"/>
      <w:r w:rsidR="002C5411">
        <w:t>Webbe</w:t>
      </w:r>
      <w:proofErr w:type="spellEnd"/>
      <w:r w:rsidR="00781EBF">
        <w:t>”</w:t>
      </w:r>
      <w:r w:rsidR="002C5411">
        <w:t xml:space="preserve"> rented a cottage from</w:t>
      </w:r>
      <w:r w:rsidR="00781EBF">
        <w:t xml:space="preserve"> the Lords of the manor (Milton Abbey).</w:t>
      </w:r>
      <w:r w:rsidR="002C5411">
        <w:t xml:space="preserve"> </w:t>
      </w:r>
      <w:r w:rsidR="00B039AF">
        <w:t xml:space="preserve">In 1440 Thomas </w:t>
      </w:r>
      <w:proofErr w:type="spellStart"/>
      <w:r w:rsidR="00B039AF">
        <w:t>Webbe</w:t>
      </w:r>
      <w:proofErr w:type="spellEnd"/>
      <w:r w:rsidR="00B039AF">
        <w:t xml:space="preserve"> was renting a cottage from for 6s 8d per year. There is a meadow which </w:t>
      </w:r>
      <w:r w:rsidR="004066FB">
        <w:t>wa</w:t>
      </w:r>
      <w:r w:rsidR="00B039AF">
        <w:t>s called Webber’s throughout the middle ages.</w:t>
      </w:r>
    </w:p>
    <w:p w14:paraId="7D28842C" w14:textId="13531694" w:rsidR="00232A29" w:rsidRDefault="00FE3385" w:rsidP="004E7B00">
      <w:r>
        <w:t xml:space="preserve">The very first tenant </w:t>
      </w:r>
      <w:r w:rsidR="000F245A">
        <w:t xml:space="preserve">who </w:t>
      </w:r>
      <w:r w:rsidR="00BF7403">
        <w:t>we</w:t>
      </w:r>
      <w:r w:rsidR="00A43A1C">
        <w:t xml:space="preserve"> know for</w:t>
      </w:r>
      <w:r w:rsidR="000F245A">
        <w:t xml:space="preserve"> certain </w:t>
      </w:r>
      <w:r w:rsidR="00A43A1C">
        <w:t xml:space="preserve">to have </w:t>
      </w:r>
      <w:r w:rsidR="000F245A">
        <w:t>lived</w:t>
      </w:r>
      <w:r>
        <w:t xml:space="preserve"> on th</w:t>
      </w:r>
      <w:r w:rsidR="00323A60">
        <w:t>e</w:t>
      </w:r>
      <w:r>
        <w:t xml:space="preserve"> site of the cottage known as Webbers, was Jo</w:t>
      </w:r>
      <w:r w:rsidR="00025A7C">
        <w:t>h</w:t>
      </w:r>
      <w:r w:rsidR="009404E6">
        <w:t>a</w:t>
      </w:r>
      <w:r w:rsidR="00025A7C">
        <w:t>n</w:t>
      </w:r>
      <w:r w:rsidR="009404E6">
        <w:t xml:space="preserve"> (John)</w:t>
      </w:r>
      <w:r>
        <w:t xml:space="preserve"> Webber, in the 1530s. </w:t>
      </w:r>
      <w:r w:rsidR="00025A7C">
        <w:t>H</w:t>
      </w:r>
      <w:r w:rsidR="00232A29">
        <w:t>e</w:t>
      </w:r>
      <w:r>
        <w:t xml:space="preserve"> held the cottage by copyhold</w:t>
      </w:r>
      <w:r w:rsidR="00232A29">
        <w:t xml:space="preserve">. </w:t>
      </w:r>
      <w:r w:rsidR="002B7AF6">
        <w:t>A</w:t>
      </w:r>
      <w:r w:rsidR="00232A29">
        <w:t xml:space="preserve"> copyholder rented the cottage for life, and could nominate 2 lives to take on the rental from them when they died</w:t>
      </w:r>
      <w:r w:rsidR="00E66BF5">
        <w:t xml:space="preserve">, on payment of a </w:t>
      </w:r>
      <w:r w:rsidR="007070B6">
        <w:t>fee</w:t>
      </w:r>
      <w:bookmarkStart w:id="0" w:name="_GoBack"/>
      <w:bookmarkEnd w:id="0"/>
      <w:r w:rsidR="001201C5">
        <w:t>.</w:t>
      </w:r>
    </w:p>
    <w:p w14:paraId="610CF09C" w14:textId="49BCE992" w:rsidR="00A3617D" w:rsidRDefault="005C5505" w:rsidP="004E7B00">
      <w:r>
        <w:t>The</w:t>
      </w:r>
      <w:r w:rsidR="00A3617D">
        <w:t xml:space="preserve"> Webbers and their descendants lived in the cottage for </w:t>
      </w:r>
      <w:r>
        <w:t xml:space="preserve">the next </w:t>
      </w:r>
      <w:r w:rsidR="00A3617D">
        <w:t xml:space="preserve">370 years. </w:t>
      </w:r>
    </w:p>
    <w:p w14:paraId="47987894" w14:textId="1465CAC1" w:rsidR="00C5156B" w:rsidRDefault="00FE3385" w:rsidP="004E7B00">
      <w:r>
        <w:t>After Jo</w:t>
      </w:r>
      <w:r w:rsidR="001201C5">
        <w:t>hn</w:t>
      </w:r>
      <w:r w:rsidR="00232A29">
        <w:t xml:space="preserve"> came</w:t>
      </w:r>
      <w:r>
        <w:t xml:space="preserve"> William Webber, then John Webber, then his sons Thomas and William in </w:t>
      </w:r>
      <w:r w:rsidR="00C5156B">
        <w:t>1591 then</w:t>
      </w:r>
      <w:r>
        <w:t xml:space="preserve"> </w:t>
      </w:r>
      <w:r w:rsidR="00C5156B">
        <w:t xml:space="preserve">another Thomas, two </w:t>
      </w:r>
      <w:r>
        <w:t>William</w:t>
      </w:r>
      <w:r w:rsidR="00C5156B">
        <w:t>s</w:t>
      </w:r>
      <w:r>
        <w:t xml:space="preserve">, Alice Webber, Dorcas Webber, </w:t>
      </w:r>
      <w:r w:rsidR="00145A9D">
        <w:t xml:space="preserve">A couple of Silas Webbers, Sarah, and lastly William Webber in 1769. </w:t>
      </w:r>
    </w:p>
    <w:p w14:paraId="64B63C47" w14:textId="647355E0" w:rsidR="006B6D0C" w:rsidRDefault="00F827E5" w:rsidP="004E7B00">
      <w:r>
        <w:lastRenderedPageBreak/>
        <w:t>Of course,</w:t>
      </w:r>
      <w:r w:rsidR="009E434C">
        <w:t xml:space="preserve"> many Webbers married into other village families. </w:t>
      </w:r>
      <w:r w:rsidR="00D32B64">
        <w:t>In 1772 t</w:t>
      </w:r>
      <w:r w:rsidR="00145A9D">
        <w:t>he copyhold passed to George Bridle, who had married Elizabeth Webber. The Bridles were her</w:t>
      </w:r>
      <w:r w:rsidR="00232A29">
        <w:t>e</w:t>
      </w:r>
      <w:r w:rsidR="00145A9D">
        <w:t xml:space="preserve"> for the next </w:t>
      </w:r>
      <w:r w:rsidR="00565EE1">
        <w:t>century</w:t>
      </w:r>
      <w:r w:rsidR="00594E26">
        <w:t>.</w:t>
      </w:r>
      <w:r w:rsidR="00145A9D">
        <w:t xml:space="preserve"> </w:t>
      </w:r>
      <w:r w:rsidR="00082629">
        <w:t xml:space="preserve">They were an old </w:t>
      </w:r>
      <w:proofErr w:type="spellStart"/>
      <w:r w:rsidR="00082629">
        <w:t>Sydling</w:t>
      </w:r>
      <w:proofErr w:type="spellEnd"/>
      <w:r w:rsidR="00082629">
        <w:t xml:space="preserve"> family too, popping up in records as far back as the 1</w:t>
      </w:r>
      <w:r w:rsidR="00BF4FBE">
        <w:t>300s</w:t>
      </w:r>
      <w:r w:rsidR="00082629">
        <w:t>.</w:t>
      </w:r>
    </w:p>
    <w:p w14:paraId="268CDE1B" w14:textId="543B22BF" w:rsidR="001201C5" w:rsidRDefault="00965BCC" w:rsidP="004E7B00">
      <w:r>
        <w:t xml:space="preserve">The tenants of the cottage also </w:t>
      </w:r>
      <w:r w:rsidR="00937611">
        <w:t xml:space="preserve">had grazing rights on the common land around the village, and </w:t>
      </w:r>
      <w:r w:rsidR="00B039AF">
        <w:t>rented</w:t>
      </w:r>
      <w:r>
        <w:t xml:space="preserve"> plots of land </w:t>
      </w:r>
      <w:r w:rsidR="00592DB6">
        <w:t xml:space="preserve">from the lord of the manor, </w:t>
      </w:r>
      <w:r>
        <w:t>which they were allowed to cultivate or graze</w:t>
      </w:r>
      <w:r w:rsidR="00471E8F">
        <w:t>.</w:t>
      </w:r>
    </w:p>
    <w:p w14:paraId="705CA366" w14:textId="60652486" w:rsidR="00F827E5" w:rsidRDefault="001201C5" w:rsidP="004E7B00">
      <w:r>
        <w:t>In 1764 Silas Webber had</w:t>
      </w:r>
      <w:r w:rsidR="00001CDF">
        <w:t xml:space="preserve"> right of </w:t>
      </w:r>
      <w:r>
        <w:t xml:space="preserve">pasture for 1 horse, 13 cows, 1 heifer </w:t>
      </w:r>
      <w:r w:rsidR="00272C5A">
        <w:t xml:space="preserve">and </w:t>
      </w:r>
      <w:r>
        <w:t>64 sheep, and</w:t>
      </w:r>
      <w:r w:rsidR="00272C5A">
        <w:t xml:space="preserve"> </w:t>
      </w:r>
      <w:r w:rsidR="004F7170">
        <w:t>he rented</w:t>
      </w:r>
      <w:r w:rsidR="00017449">
        <w:t xml:space="preserve"> </w:t>
      </w:r>
      <w:r>
        <w:t xml:space="preserve">about 6 acres of arable land, in Churchfield, near Court Ashes </w:t>
      </w:r>
      <w:r w:rsidR="00F827E5">
        <w:t>and at Cow Lane Bank.</w:t>
      </w:r>
    </w:p>
    <w:p w14:paraId="148A3FFC" w14:textId="01D995C4" w:rsidR="0090628D" w:rsidRDefault="001201C5" w:rsidP="004E7B00">
      <w:r>
        <w:t xml:space="preserve"> </w:t>
      </w:r>
      <w:r w:rsidR="00965BCC">
        <w:t xml:space="preserve">The </w:t>
      </w:r>
      <w:r w:rsidR="00066537">
        <w:t xml:space="preserve">rental book </w:t>
      </w:r>
      <w:r w:rsidR="00965BCC">
        <w:t>below is dated 1831, and shows the fields which George Bridle held</w:t>
      </w:r>
      <w:r w:rsidR="00F827E5">
        <w:t xml:space="preserve"> </w:t>
      </w:r>
      <w:r w:rsidR="001610FC">
        <w:t>with Webbers</w:t>
      </w:r>
      <w:r w:rsidR="00752E08">
        <w:t>; t</w:t>
      </w:r>
      <w:r w:rsidR="00965BCC">
        <w:t xml:space="preserve">he cottage, garden and orchard, 10 acres of pasture in the </w:t>
      </w:r>
      <w:proofErr w:type="spellStart"/>
      <w:r w:rsidR="00965BCC">
        <w:t>Combe</w:t>
      </w:r>
      <w:proofErr w:type="spellEnd"/>
      <w:r w:rsidR="00965BCC">
        <w:t>, 10 acres of arable land in “Little Field”</w:t>
      </w:r>
      <w:r w:rsidR="00372FAF">
        <w:t>,</w:t>
      </w:r>
      <w:r w:rsidR="001E16E9">
        <w:t xml:space="preserve"> </w:t>
      </w:r>
      <w:r w:rsidR="00372FAF">
        <w:t>(</w:t>
      </w:r>
      <w:r w:rsidR="00752E08">
        <w:t>at</w:t>
      </w:r>
      <w:r w:rsidR="00372FAF">
        <w:t xml:space="preserve"> the top of Dry Lane).</w:t>
      </w:r>
    </w:p>
    <w:p w14:paraId="16C557B4" w14:textId="77777777" w:rsidR="00941B51" w:rsidRDefault="00941B51" w:rsidP="004E7B00"/>
    <w:p w14:paraId="2BC24DDD" w14:textId="77777777" w:rsidR="00524388" w:rsidRDefault="000A66FD">
      <w:pPr>
        <w:jc w:val="center"/>
      </w:pPr>
      <w:r>
        <w:rPr>
          <w:noProof/>
          <w:lang w:eastAsia="en-US"/>
        </w:rPr>
        <w:drawing>
          <wp:inline distT="0" distB="0" distL="0" distR="0" wp14:anchorId="5B1316DE" wp14:editId="06612D93">
            <wp:extent cx="5778171" cy="24511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0002048_96.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86932" cy="2454817"/>
                    </a:xfrm>
                    <a:prstGeom prst="rect">
                      <a:avLst/>
                    </a:prstGeom>
                  </pic:spPr>
                </pic:pic>
              </a:graphicData>
            </a:graphic>
          </wp:inline>
        </w:drawing>
      </w:r>
    </w:p>
    <w:p w14:paraId="5831D6F9" w14:textId="77777777" w:rsidR="001327B9" w:rsidRDefault="001327B9" w:rsidP="009C061B"/>
    <w:p w14:paraId="4064EBB8" w14:textId="223CFD63" w:rsidR="00C42EE5" w:rsidRDefault="00C42EE5" w:rsidP="009C061B">
      <w:r>
        <w:t xml:space="preserve">The Webbers seem to have been agricultural </w:t>
      </w:r>
      <w:proofErr w:type="spellStart"/>
      <w:r>
        <w:t>labourers</w:t>
      </w:r>
      <w:proofErr w:type="spellEnd"/>
      <w:r>
        <w:t xml:space="preserve">, and have left little record of their lives apart from births and deaths in the parish records. It is tempting to think that all the major events of the centuries passed them by, as they toiled in the fields and lived their lives in the cottage. </w:t>
      </w:r>
      <w:r w:rsidR="00F05BF9">
        <w:t>But</w:t>
      </w:r>
      <w:r>
        <w:t xml:space="preserve"> this may be far from the truth. Who kno</w:t>
      </w:r>
      <w:r w:rsidR="00752E08">
        <w:t xml:space="preserve">ws? </w:t>
      </w:r>
    </w:p>
    <w:p w14:paraId="35AA975E" w14:textId="3D9F66D0" w:rsidR="00545E5A" w:rsidRDefault="00752E08" w:rsidP="009C061B">
      <w:r>
        <w:t xml:space="preserve">In 1832, only a year after the rental above was written,15 year old John Webber was buried in </w:t>
      </w:r>
      <w:proofErr w:type="spellStart"/>
      <w:r>
        <w:t>Sydling</w:t>
      </w:r>
      <w:proofErr w:type="spellEnd"/>
      <w:r>
        <w:t xml:space="preserve"> Churchyard. </w:t>
      </w:r>
      <w:r w:rsidR="00563A85">
        <w:t xml:space="preserve">He had been employed by his master, a glazier, to help smugglers to carry away tubs from a vessel, and </w:t>
      </w:r>
      <w:r>
        <w:t>was shot dead by the coastguard</w:t>
      </w:r>
      <w:r w:rsidR="00563A85">
        <w:t>s</w:t>
      </w:r>
      <w:r>
        <w:t>.</w:t>
      </w:r>
      <w:r w:rsidR="006F1874">
        <w:t xml:space="preserve"> </w:t>
      </w:r>
    </w:p>
    <w:p w14:paraId="5AA2F1B3" w14:textId="457DA567" w:rsidR="00D46FFA" w:rsidRDefault="00EE7AB7" w:rsidP="009C061B">
      <w:r>
        <w:lastRenderedPageBreak/>
        <w:t>The numbers of inhabitants of the cottage varied enormously ov</w:t>
      </w:r>
      <w:r w:rsidR="00D46FFA">
        <w:t xml:space="preserve">er time. In 1841 there seem to be thirteen members of the Bridle family living together, aged from 79 to 4 years of age. By 1851, only two remained. </w:t>
      </w:r>
      <w:r w:rsidR="00780F64">
        <w:t>In 1</w:t>
      </w:r>
      <w:r w:rsidR="00892770">
        <w:t xml:space="preserve">898 </w:t>
      </w:r>
      <w:r w:rsidR="00902A13">
        <w:t xml:space="preserve">Tabitha Bridle </w:t>
      </w:r>
      <w:r w:rsidR="00892770">
        <w:t xml:space="preserve">had </w:t>
      </w:r>
      <w:r w:rsidR="00902A13">
        <w:t>married and moved to Weymouth</w:t>
      </w:r>
      <w:r w:rsidR="00892770">
        <w:t>. When she died in 1908,</w:t>
      </w:r>
      <w:r w:rsidR="00902A13">
        <w:t xml:space="preserve"> </w:t>
      </w:r>
      <w:r w:rsidR="00D46FFA">
        <w:t>leaving no-one</w:t>
      </w:r>
      <w:r w:rsidR="00902A13">
        <w:t xml:space="preserve"> named</w:t>
      </w:r>
      <w:r w:rsidR="00892770">
        <w:t xml:space="preserve"> to inherit, the copyhold “fell in”.</w:t>
      </w:r>
      <w:r w:rsidR="00902A13">
        <w:t xml:space="preserve"> Winchester College took back ownership and rented Webbers to other tenants until they sold it, along with several other properties in the village, in 1956.</w:t>
      </w:r>
    </w:p>
    <w:p w14:paraId="466ED946" w14:textId="70612A5C" w:rsidR="005812A2" w:rsidRDefault="00171944" w:rsidP="009C061B">
      <w:r>
        <w:t>The</w:t>
      </w:r>
      <w:r w:rsidR="00902A13">
        <w:t xml:space="preserve"> 1956</w:t>
      </w:r>
      <w:r>
        <w:t xml:space="preserve"> </w:t>
      </w:r>
      <w:r w:rsidR="00902A13">
        <w:t>sales details</w:t>
      </w:r>
      <w:r w:rsidR="00F146BE">
        <w:rPr>
          <w:rStyle w:val="EndnoteReference"/>
        </w:rPr>
        <w:endnoteReference w:id="1"/>
      </w:r>
      <w:r w:rsidR="00902A13">
        <w:t xml:space="preserve"> show that Webbers had mains electricity, but water was from a single tap outside the front of the cottage, and there was an “earth closet”. Life was still primitive!</w:t>
      </w:r>
    </w:p>
    <w:p w14:paraId="67D0CADA" w14:textId="3CC11E0E" w:rsidR="003B7E78" w:rsidRDefault="00257560" w:rsidP="009C061B">
      <w:r>
        <w:t xml:space="preserve"> </w:t>
      </w:r>
      <w:r w:rsidR="001E354C">
        <w:t xml:space="preserve">Webbers, like many </w:t>
      </w:r>
      <w:proofErr w:type="spellStart"/>
      <w:r w:rsidR="001E354C">
        <w:t>Sydling</w:t>
      </w:r>
      <w:proofErr w:type="spellEnd"/>
      <w:r w:rsidR="001E354C">
        <w:t xml:space="preserve"> cottages, was built of banded chalk and flint. It is likely that the stone came either from the ruins of </w:t>
      </w:r>
      <w:proofErr w:type="spellStart"/>
      <w:r w:rsidR="001E354C">
        <w:t>Cerne</w:t>
      </w:r>
      <w:proofErr w:type="spellEnd"/>
      <w:r w:rsidR="001E354C">
        <w:t xml:space="preserve"> Abbey,</w:t>
      </w:r>
      <w:r w:rsidR="00D87FBD">
        <w:t xml:space="preserve"> </w:t>
      </w:r>
      <w:r w:rsidR="001E354C">
        <w:t>or from the quarry on Giant Hill</w:t>
      </w:r>
      <w:r w:rsidR="006E1460">
        <w:t>.</w:t>
      </w:r>
      <w:r w:rsidR="006E1460">
        <w:rPr>
          <w:rStyle w:val="EndnoteReference"/>
        </w:rPr>
        <w:endnoteReference w:id="2"/>
      </w:r>
      <w:r w:rsidR="006E1460">
        <w:t xml:space="preserve"> </w:t>
      </w:r>
      <w:r w:rsidR="00B46DA1">
        <w:t xml:space="preserve">The upper </w:t>
      </w:r>
      <w:proofErr w:type="spellStart"/>
      <w:r w:rsidR="00B46DA1">
        <w:t>storey</w:t>
      </w:r>
      <w:proofErr w:type="spellEnd"/>
      <w:r w:rsidR="00B46DA1">
        <w:t xml:space="preserve"> has chalk cob walls. The date it was built is uncertain. Historic England suggest that the cottage is 17</w:t>
      </w:r>
      <w:r w:rsidR="00B46DA1" w:rsidRPr="00B46DA1">
        <w:rPr>
          <w:vertAlign w:val="superscript"/>
        </w:rPr>
        <w:t>th</w:t>
      </w:r>
      <w:r w:rsidR="00B46DA1">
        <w:t xml:space="preserve"> century, which would mean that it replaced an earlier cottage on the plot. It is thatched, with a catslide roof at one end.</w:t>
      </w:r>
      <w:r w:rsidR="004F7170">
        <w:t xml:space="preserve"> </w:t>
      </w:r>
      <w:r w:rsidR="003B7E78">
        <w:t xml:space="preserve">The </w:t>
      </w:r>
      <w:r w:rsidR="00D67DAB">
        <w:t>lean-to</w:t>
      </w:r>
      <w:r w:rsidR="003B7E78">
        <w:t xml:space="preserve"> extension was probably a later addition. Old photos show that </w:t>
      </w:r>
      <w:r w:rsidR="00F22502">
        <w:t>this</w:t>
      </w:r>
      <w:r w:rsidR="003B7E78">
        <w:t xml:space="preserve"> was once much taller.</w:t>
      </w:r>
    </w:p>
    <w:p w14:paraId="7535DC49" w14:textId="0C82D7E8" w:rsidR="0011727F" w:rsidRDefault="00257560" w:rsidP="009C061B">
      <w:r>
        <w:t xml:space="preserve">By the 1970s, after standing for </w:t>
      </w:r>
      <w:r w:rsidR="00B0778F">
        <w:t>hundreds of</w:t>
      </w:r>
      <w:r>
        <w:t xml:space="preserve"> years, the old roof timbers of Webbers finally gave way, the roof began to collapse, and had to be shored up by new timbers and supports</w:t>
      </w:r>
      <w:r w:rsidR="00045520">
        <w:t>. T</w:t>
      </w:r>
      <w:r>
        <w:t>he upstairs of the cottage was no longer safe or usable, the stairs were removed, and for</w:t>
      </w:r>
      <w:r w:rsidR="00C735C6">
        <w:t xml:space="preserve"> </w:t>
      </w:r>
      <w:r w:rsidR="003C44AB">
        <w:t xml:space="preserve">the next </w:t>
      </w:r>
      <w:r w:rsidR="00C735C6">
        <w:t>40</w:t>
      </w:r>
      <w:r>
        <w:t xml:space="preserve"> years, only the ground floor was habitable.</w:t>
      </w:r>
      <w:r w:rsidR="00F146BE">
        <w:t xml:space="preserve"> </w:t>
      </w:r>
      <w:r w:rsidR="00B0778F">
        <w:t>The cottage might have been nearing the end of its life.</w:t>
      </w:r>
    </w:p>
    <w:p w14:paraId="7115C0EB" w14:textId="09EC0745" w:rsidR="00507990" w:rsidRDefault="00D34A70" w:rsidP="009C061B">
      <w:r>
        <w:t>But l</w:t>
      </w:r>
      <w:r w:rsidR="009F2AC1">
        <w:t>uckily, after extensive building works, in 2019 it was repaired</w:t>
      </w:r>
      <w:r w:rsidR="00F146BE">
        <w:t xml:space="preserve"> and </w:t>
      </w:r>
      <w:r w:rsidR="009F2AC1">
        <w:t>restored</w:t>
      </w:r>
      <w:r w:rsidR="002052D6">
        <w:t>, and continues its long life as a family home</w:t>
      </w:r>
      <w:r w:rsidR="009F2AC1">
        <w:t>. Hopefully it will still be standing</w:t>
      </w:r>
      <w:r w:rsidR="00963164">
        <w:t xml:space="preserve"> </w:t>
      </w:r>
      <w:r w:rsidR="009F2AC1">
        <w:t xml:space="preserve">in another </w:t>
      </w:r>
      <w:r w:rsidR="00B0778F">
        <w:t>4</w:t>
      </w:r>
      <w:r w:rsidR="009F2AC1">
        <w:t>00 years</w:t>
      </w:r>
      <w:r w:rsidR="00507990">
        <w:t>!</w:t>
      </w:r>
    </w:p>
    <w:p w14:paraId="55C29B0A" w14:textId="063B476C" w:rsidR="00902A13" w:rsidRDefault="00507990" w:rsidP="009C061B">
      <w:r>
        <w:t xml:space="preserve"> </w:t>
      </w:r>
      <w:r w:rsidR="009F2AC1">
        <w:t>Anne Brown</w:t>
      </w:r>
    </w:p>
    <w:p w14:paraId="63D86E0B" w14:textId="77777777" w:rsidR="00524388" w:rsidRDefault="00524388"/>
    <w:sectPr w:rsidR="00524388">
      <w:footerReference w:type="default" r:id="rId10"/>
      <w:pgSz w:w="12240" w:h="15840"/>
      <w:pgMar w:top="1080" w:right="864" w:bottom="1584" w:left="86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76AFF9" w14:textId="77777777" w:rsidR="007F2F1B" w:rsidRDefault="007F2F1B">
      <w:pPr>
        <w:spacing w:after="0" w:line="240" w:lineRule="auto"/>
      </w:pPr>
      <w:r>
        <w:separator/>
      </w:r>
    </w:p>
  </w:endnote>
  <w:endnote w:type="continuationSeparator" w:id="0">
    <w:p w14:paraId="2B415FB9" w14:textId="77777777" w:rsidR="007F2F1B" w:rsidRDefault="007F2F1B">
      <w:pPr>
        <w:spacing w:after="0" w:line="240" w:lineRule="auto"/>
      </w:pPr>
      <w:r>
        <w:continuationSeparator/>
      </w:r>
    </w:p>
  </w:endnote>
  <w:endnote w:id="1">
    <w:p w14:paraId="42916892" w14:textId="4FB0215B" w:rsidR="00F146BE" w:rsidRPr="00F146BE" w:rsidRDefault="00F146BE">
      <w:pPr>
        <w:pStyle w:val="EndnoteText"/>
        <w:rPr>
          <w:lang w:val="en-GB"/>
        </w:rPr>
      </w:pPr>
      <w:r>
        <w:rPr>
          <w:rStyle w:val="EndnoteReference"/>
        </w:rPr>
        <w:endnoteRef/>
      </w:r>
      <w:r>
        <w:t xml:space="preserve"> </w:t>
      </w:r>
      <w:r>
        <w:rPr>
          <w:lang w:val="en-GB"/>
        </w:rPr>
        <w:t>Winchester College Archives provided all the information above</w:t>
      </w:r>
    </w:p>
  </w:endnote>
  <w:endnote w:id="2">
    <w:p w14:paraId="74A678B6" w14:textId="214A015E" w:rsidR="006E1460" w:rsidRPr="006E1460" w:rsidRDefault="006E1460">
      <w:pPr>
        <w:pStyle w:val="EndnoteText"/>
        <w:rPr>
          <w:lang w:val="en-GB"/>
        </w:rPr>
      </w:pPr>
      <w:r>
        <w:rPr>
          <w:rStyle w:val="EndnoteReference"/>
        </w:rPr>
        <w:endnoteRef/>
      </w:r>
      <w:r>
        <w:t xml:space="preserve"> </w:t>
      </w:r>
      <w:r>
        <w:rPr>
          <w:lang w:val="en-GB"/>
        </w:rPr>
        <w:t>Dorsetbuildingstone.org. Jo Thomas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62852419"/>
      <w:docPartObj>
        <w:docPartGallery w:val="Page Numbers (Bottom of Page)"/>
        <w:docPartUnique/>
      </w:docPartObj>
    </w:sdtPr>
    <w:sdtEndPr>
      <w:rPr>
        <w:noProof/>
      </w:rPr>
    </w:sdtEndPr>
    <w:sdtContent>
      <w:p w14:paraId="5054922E" w14:textId="77777777" w:rsidR="00524388" w:rsidRDefault="000A66FD">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36CC77" w14:textId="77777777" w:rsidR="007F2F1B" w:rsidRDefault="007F2F1B">
      <w:pPr>
        <w:spacing w:after="0" w:line="240" w:lineRule="auto"/>
      </w:pPr>
      <w:r>
        <w:separator/>
      </w:r>
    </w:p>
  </w:footnote>
  <w:footnote w:type="continuationSeparator" w:id="0">
    <w:p w14:paraId="3AA5203E" w14:textId="77777777" w:rsidR="007F2F1B" w:rsidRDefault="007F2F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6EE2A7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49A8315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19E430A"/>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20C6C95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D80F29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2A46C7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FC25A4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75E5B4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2F819E8"/>
    <w:lvl w:ilvl="0">
      <w:start w:val="1"/>
      <w:numFmt w:val="decimal"/>
      <w:lvlText w:val="%1."/>
      <w:lvlJc w:val="left"/>
      <w:pPr>
        <w:ind w:left="1080" w:hanging="360"/>
      </w:pPr>
      <w:rPr>
        <w:rFonts w:hint="default"/>
      </w:rPr>
    </w:lvl>
  </w:abstractNum>
  <w:abstractNum w:abstractNumId="9" w15:restartNumberingAfterBreak="0">
    <w:nsid w:val="FFFFFF89"/>
    <w:multiLevelType w:val="singleLevel"/>
    <w:tmpl w:val="C97C33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C190004"/>
    <w:multiLevelType w:val="hybridMultilevel"/>
    <w:tmpl w:val="84A4F6C8"/>
    <w:lvl w:ilvl="0" w:tplc="1C7E5174">
      <w:start w:val="1"/>
      <w:numFmt w:val="bullet"/>
      <w:lvlText w:val=""/>
      <w:lvlJc w:val="left"/>
      <w:pPr>
        <w:tabs>
          <w:tab w:val="num" w:pos="720"/>
        </w:tabs>
        <w:ind w:left="108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385202"/>
    <w:multiLevelType w:val="hybridMultilevel"/>
    <w:tmpl w:val="C13A5756"/>
    <w:lvl w:ilvl="0" w:tplc="EFC0596C">
      <w:start w:val="1"/>
      <w:numFmt w:val="decimal"/>
      <w:lvlText w:val="%1."/>
      <w:lvlJc w:val="left"/>
      <w:pPr>
        <w:tabs>
          <w:tab w:val="num" w:pos="1080"/>
        </w:tabs>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8"/>
  </w:num>
  <w:num w:numId="3">
    <w:abstractNumId w:val="9"/>
  </w:num>
  <w:num w:numId="4">
    <w:abstractNumId w:val="8"/>
    <w:lvlOverride w:ilvl="0">
      <w:lvl w:ilvl="0">
        <w:start w:val="1"/>
        <w:numFmt w:val="decimal"/>
        <w:lvlText w:val="%1."/>
        <w:lvlJc w:val="left"/>
        <w:pPr>
          <w:tabs>
            <w:tab w:val="num" w:pos="1080"/>
          </w:tabs>
          <w:ind w:left="1080" w:hanging="360"/>
        </w:pPr>
        <w:rPr>
          <w:rFonts w:hint="default"/>
        </w:rPr>
      </w:lvl>
    </w:lvlOverride>
  </w:num>
  <w:num w:numId="5">
    <w:abstractNumId w:val="10"/>
  </w:num>
  <w:num w:numId="6">
    <w:abstractNumId w:val="7"/>
  </w:num>
  <w:num w:numId="7">
    <w:abstractNumId w:val="6"/>
  </w:num>
  <w:num w:numId="8">
    <w:abstractNumId w:val="5"/>
  </w:num>
  <w:num w:numId="9">
    <w:abstractNumId w:val="4"/>
  </w:num>
  <w:num w:numId="10">
    <w:abstractNumId w:val="3"/>
  </w:num>
  <w:num w:numId="11">
    <w:abstractNumId w:val="2"/>
  </w:num>
  <w:num w:numId="12">
    <w:abstractNumId w:val="1"/>
  </w:num>
  <w:num w:numId="13">
    <w:abstractNumId w:val="0"/>
  </w:num>
  <w:num w:numId="14">
    <w:abstractNumId w:val="8"/>
    <w:lvlOverride w:ilvl="0">
      <w:startOverride w:val="1"/>
    </w:lvlOverride>
  </w:num>
  <w:num w:numId="15">
    <w:abstractNumId w:val="8"/>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784"/>
    <w:rsid w:val="00000858"/>
    <w:rsid w:val="00001CDF"/>
    <w:rsid w:val="00017449"/>
    <w:rsid w:val="00025A7C"/>
    <w:rsid w:val="00045520"/>
    <w:rsid w:val="00066537"/>
    <w:rsid w:val="00082629"/>
    <w:rsid w:val="0008460A"/>
    <w:rsid w:val="00095F51"/>
    <w:rsid w:val="000A3B21"/>
    <w:rsid w:val="000A66FD"/>
    <w:rsid w:val="000D7A28"/>
    <w:rsid w:val="000F245A"/>
    <w:rsid w:val="0010466E"/>
    <w:rsid w:val="001116F7"/>
    <w:rsid w:val="0011727F"/>
    <w:rsid w:val="001201C5"/>
    <w:rsid w:val="001327B9"/>
    <w:rsid w:val="00145A9D"/>
    <w:rsid w:val="001610FC"/>
    <w:rsid w:val="00171944"/>
    <w:rsid w:val="001E16E9"/>
    <w:rsid w:val="001E354C"/>
    <w:rsid w:val="002052D6"/>
    <w:rsid w:val="00232A29"/>
    <w:rsid w:val="00257560"/>
    <w:rsid w:val="00272C5A"/>
    <w:rsid w:val="0029677F"/>
    <w:rsid w:val="002A4C64"/>
    <w:rsid w:val="002B7AF6"/>
    <w:rsid w:val="002C5411"/>
    <w:rsid w:val="002C7424"/>
    <w:rsid w:val="00321636"/>
    <w:rsid w:val="00323A60"/>
    <w:rsid w:val="00372FAF"/>
    <w:rsid w:val="003B7E78"/>
    <w:rsid w:val="003C44AB"/>
    <w:rsid w:val="003F31CF"/>
    <w:rsid w:val="004066FB"/>
    <w:rsid w:val="00447C96"/>
    <w:rsid w:val="00471E8F"/>
    <w:rsid w:val="004921A6"/>
    <w:rsid w:val="004C6704"/>
    <w:rsid w:val="004D4E02"/>
    <w:rsid w:val="004E7B00"/>
    <w:rsid w:val="004F7170"/>
    <w:rsid w:val="00507990"/>
    <w:rsid w:val="00513784"/>
    <w:rsid w:val="00524388"/>
    <w:rsid w:val="00545E5A"/>
    <w:rsid w:val="00563A85"/>
    <w:rsid w:val="00565EE1"/>
    <w:rsid w:val="00570C82"/>
    <w:rsid w:val="005812A2"/>
    <w:rsid w:val="00592DB6"/>
    <w:rsid w:val="00594E26"/>
    <w:rsid w:val="005C3638"/>
    <w:rsid w:val="005C5505"/>
    <w:rsid w:val="005E2889"/>
    <w:rsid w:val="005E5AAC"/>
    <w:rsid w:val="006B6D0C"/>
    <w:rsid w:val="006E1460"/>
    <w:rsid w:val="006F1874"/>
    <w:rsid w:val="007070B6"/>
    <w:rsid w:val="00752E08"/>
    <w:rsid w:val="007731D7"/>
    <w:rsid w:val="007767A6"/>
    <w:rsid w:val="00780F64"/>
    <w:rsid w:val="00781EBF"/>
    <w:rsid w:val="007D3787"/>
    <w:rsid w:val="007F2F1B"/>
    <w:rsid w:val="00880B17"/>
    <w:rsid w:val="00892770"/>
    <w:rsid w:val="00902A13"/>
    <w:rsid w:val="0090628D"/>
    <w:rsid w:val="00937611"/>
    <w:rsid w:val="009404E6"/>
    <w:rsid w:val="00941B51"/>
    <w:rsid w:val="00942C76"/>
    <w:rsid w:val="00963164"/>
    <w:rsid w:val="00965BCC"/>
    <w:rsid w:val="009C061B"/>
    <w:rsid w:val="009E434C"/>
    <w:rsid w:val="009F2AC1"/>
    <w:rsid w:val="00A21A6A"/>
    <w:rsid w:val="00A3617D"/>
    <w:rsid w:val="00A43A1C"/>
    <w:rsid w:val="00A732A1"/>
    <w:rsid w:val="00A86318"/>
    <w:rsid w:val="00AA4410"/>
    <w:rsid w:val="00AB3DB5"/>
    <w:rsid w:val="00AF520A"/>
    <w:rsid w:val="00B039AF"/>
    <w:rsid w:val="00B0778F"/>
    <w:rsid w:val="00B24F19"/>
    <w:rsid w:val="00B46DA1"/>
    <w:rsid w:val="00B7643A"/>
    <w:rsid w:val="00BA5F34"/>
    <w:rsid w:val="00BB58E9"/>
    <w:rsid w:val="00BF4FBE"/>
    <w:rsid w:val="00BF7403"/>
    <w:rsid w:val="00C42EE5"/>
    <w:rsid w:val="00C5156B"/>
    <w:rsid w:val="00C735C6"/>
    <w:rsid w:val="00C90651"/>
    <w:rsid w:val="00CD4131"/>
    <w:rsid w:val="00CF47CA"/>
    <w:rsid w:val="00D063D7"/>
    <w:rsid w:val="00D0684D"/>
    <w:rsid w:val="00D32B64"/>
    <w:rsid w:val="00D34A70"/>
    <w:rsid w:val="00D46FFA"/>
    <w:rsid w:val="00D67DAB"/>
    <w:rsid w:val="00D87FBD"/>
    <w:rsid w:val="00DC759B"/>
    <w:rsid w:val="00E42B1F"/>
    <w:rsid w:val="00E66BF5"/>
    <w:rsid w:val="00E73AC0"/>
    <w:rsid w:val="00E835B2"/>
    <w:rsid w:val="00EA2877"/>
    <w:rsid w:val="00EE7AB7"/>
    <w:rsid w:val="00F05BF9"/>
    <w:rsid w:val="00F146BE"/>
    <w:rsid w:val="00F22502"/>
    <w:rsid w:val="00F518C9"/>
    <w:rsid w:val="00F55620"/>
    <w:rsid w:val="00F827E5"/>
    <w:rsid w:val="00FA1D38"/>
    <w:rsid w:val="00FB78C4"/>
    <w:rsid w:val="00FE3385"/>
    <w:rsid w:val="00FF00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C93879"/>
  <w15:chartTrackingRefBased/>
  <w15:docId w15:val="{9A0C0EE6-067A-2448-86E3-48A26A221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666660" w:themeColor="text2" w:themeTint="BF"/>
        <w:sz w:val="24"/>
        <w:szCs w:val="24"/>
        <w:lang w:val="en-US" w:eastAsia="ja-JP" w:bidi="ar-SA"/>
      </w:rPr>
    </w:rPrDefault>
    <w:pPrDefault>
      <w:pPr>
        <w:spacing w:after="36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00" w:after="160"/>
      <w:contextualSpacing/>
      <w:outlineLvl w:val="0"/>
    </w:pPr>
    <w:rPr>
      <w:rFonts w:asciiTheme="majorHAnsi" w:eastAsiaTheme="majorEastAsia" w:hAnsiTheme="majorHAnsi" w:cstheme="majorBidi"/>
      <w:b/>
      <w:color w:val="454541" w:themeColor="text2" w:themeTint="E6"/>
      <w:sz w:val="44"/>
      <w:szCs w:val="32"/>
    </w:rPr>
  </w:style>
  <w:style w:type="paragraph" w:styleId="Heading4">
    <w:name w:val="heading 4"/>
    <w:basedOn w:val="Normal"/>
    <w:next w:val="Normal"/>
    <w:uiPriority w:val="9"/>
    <w:semiHidden/>
    <w:unhideWhenUsed/>
    <w:qFormat/>
    <w:pPr>
      <w:keepNext/>
      <w:keepLines/>
      <w:spacing w:before="340" w:after="120"/>
      <w:contextualSpacing/>
      <w:outlineLvl w:val="3"/>
    </w:pPr>
    <w:rPr>
      <w:rFonts w:asciiTheme="majorHAnsi" w:eastAsiaTheme="majorEastAsia" w:hAnsiTheme="majorHAnsi" w:cstheme="majorBidi"/>
      <w:iCs/>
      <w:color w:val="FF7A00" w:themeColor="accent1"/>
    </w:rPr>
  </w:style>
  <w:style w:type="paragraph" w:styleId="Heading5">
    <w:name w:val="heading 5"/>
    <w:basedOn w:val="Normal"/>
    <w:next w:val="Normal"/>
    <w:link w:val="Heading5Char"/>
    <w:uiPriority w:val="9"/>
    <w:semiHidden/>
    <w:unhideWhenUsed/>
    <w:qFormat/>
    <w:pPr>
      <w:keepNext/>
      <w:keepLines/>
      <w:spacing w:before="340" w:after="120"/>
      <w:contextualSpacing/>
      <w:outlineLvl w:val="4"/>
    </w:pPr>
    <w:rPr>
      <w:rFonts w:asciiTheme="majorHAnsi" w:eastAsiaTheme="majorEastAsia" w:hAnsiTheme="majorHAnsi" w:cstheme="majorBidi"/>
      <w:i/>
      <w:color w:val="FF7A00" w:themeColor="accent1"/>
    </w:rPr>
  </w:style>
  <w:style w:type="paragraph" w:styleId="Heading6">
    <w:name w:val="heading 6"/>
    <w:basedOn w:val="Normal"/>
    <w:next w:val="Normal"/>
    <w:link w:val="Heading6Char"/>
    <w:uiPriority w:val="9"/>
    <w:semiHidden/>
    <w:unhideWhenUsed/>
    <w:qFormat/>
    <w:pPr>
      <w:keepNext/>
      <w:keepLines/>
      <w:spacing w:before="340" w:after="120"/>
      <w:contextualSpacing/>
      <w:outlineLvl w:val="5"/>
    </w:pPr>
    <w:rPr>
      <w:rFonts w:asciiTheme="majorHAnsi" w:eastAsiaTheme="majorEastAsia" w:hAnsiTheme="majorHAnsi" w:cstheme="majorBidi"/>
      <w:b/>
      <w:color w:val="FF7A00" w:themeColor="accent1"/>
      <w:sz w:val="20"/>
    </w:rPr>
  </w:style>
  <w:style w:type="paragraph" w:styleId="Heading7">
    <w:name w:val="heading 7"/>
    <w:basedOn w:val="Normal"/>
    <w:next w:val="Normal"/>
    <w:link w:val="Heading7Char"/>
    <w:uiPriority w:val="9"/>
    <w:semiHidden/>
    <w:unhideWhenUsed/>
    <w:qFormat/>
    <w:pPr>
      <w:keepNext/>
      <w:keepLines/>
      <w:spacing w:before="340" w:after="120"/>
      <w:contextualSpacing/>
      <w:outlineLvl w:val="6"/>
    </w:pPr>
    <w:rPr>
      <w:rFonts w:asciiTheme="majorHAnsi" w:eastAsiaTheme="majorEastAsia" w:hAnsiTheme="majorHAnsi" w:cstheme="majorBidi"/>
      <w:b/>
      <w:i/>
      <w:iCs/>
      <w:color w:val="FF7A00" w:themeColor="accent1"/>
      <w:sz w:val="20"/>
    </w:rPr>
  </w:style>
  <w:style w:type="paragraph" w:styleId="Heading8">
    <w:name w:val="heading 8"/>
    <w:basedOn w:val="Normal"/>
    <w:next w:val="Normal"/>
    <w:link w:val="Heading8Char"/>
    <w:uiPriority w:val="9"/>
    <w:semiHidden/>
    <w:unhideWhenUsed/>
    <w:qFormat/>
    <w:pPr>
      <w:keepNext/>
      <w:keepLines/>
      <w:spacing w:before="340" w:after="120"/>
      <w:contextualSpacing/>
      <w:outlineLvl w:val="7"/>
    </w:pPr>
    <w:rPr>
      <w:rFonts w:asciiTheme="majorHAnsi" w:eastAsiaTheme="majorEastAsia" w:hAnsiTheme="majorHAnsi" w:cstheme="majorBidi"/>
      <w:color w:val="FF7A00" w:themeColor="accent1"/>
      <w:sz w:val="20"/>
      <w:szCs w:val="21"/>
    </w:rPr>
  </w:style>
  <w:style w:type="paragraph" w:styleId="Heading9">
    <w:name w:val="heading 9"/>
    <w:basedOn w:val="Normal"/>
    <w:next w:val="Normal"/>
    <w:link w:val="Heading9Char"/>
    <w:uiPriority w:val="9"/>
    <w:semiHidden/>
    <w:unhideWhenUsed/>
    <w:qFormat/>
    <w:pPr>
      <w:keepNext/>
      <w:keepLines/>
      <w:spacing w:before="340" w:after="120"/>
      <w:contextualSpacing/>
      <w:outlineLvl w:val="8"/>
    </w:pPr>
    <w:rPr>
      <w:rFonts w:asciiTheme="majorHAnsi" w:eastAsiaTheme="majorEastAsia" w:hAnsiTheme="majorHAnsi" w:cstheme="majorBidi"/>
      <w:i/>
      <w:iCs/>
      <w:color w:val="FF7A00" w:themeColor="accent1"/>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pPr>
      <w:pBdr>
        <w:bottom w:val="single" w:sz="48" w:space="22" w:color="FF7A00" w:themeColor="accent1"/>
      </w:pBdr>
      <w:spacing w:after="400" w:line="240" w:lineRule="auto"/>
      <w:contextualSpacing/>
    </w:pPr>
    <w:rPr>
      <w:rFonts w:asciiTheme="majorHAnsi" w:eastAsiaTheme="majorEastAsia" w:hAnsiTheme="majorHAnsi" w:cstheme="majorBidi"/>
      <w:b/>
      <w:color w:val="454541" w:themeColor="text2" w:themeTint="E6"/>
      <w:kern w:val="28"/>
      <w:sz w:val="60"/>
      <w:szCs w:val="56"/>
    </w:rPr>
  </w:style>
  <w:style w:type="character" w:customStyle="1" w:styleId="TitleChar">
    <w:name w:val="Title Char"/>
    <w:basedOn w:val="DefaultParagraphFont"/>
    <w:link w:val="Title"/>
    <w:uiPriority w:val="1"/>
    <w:rPr>
      <w:rFonts w:asciiTheme="majorHAnsi" w:eastAsiaTheme="majorEastAsia" w:hAnsiTheme="majorHAnsi" w:cstheme="majorBidi"/>
      <w:b/>
      <w:color w:val="454541" w:themeColor="text2" w:themeTint="E6"/>
      <w:kern w:val="28"/>
      <w:sz w:val="60"/>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b/>
      <w:color w:val="454541" w:themeColor="text2" w:themeTint="E6"/>
      <w:sz w:val="44"/>
      <w:szCs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color w:val="FF7A00" w:themeColor="accent1"/>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color w:val="FF7A00" w:themeColor="accent1"/>
      <w:sz w:val="2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
      <w:iCs/>
      <w:color w:val="FF7A00" w:themeColor="accent1"/>
      <w:sz w:val="2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FF7A00" w:themeColor="accent1"/>
      <w:sz w:val="20"/>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FF7A00" w:themeColor="accent1"/>
      <w:sz w:val="20"/>
      <w:szCs w:val="21"/>
    </w:rPr>
  </w:style>
  <w:style w:type="paragraph" w:styleId="Subtitle">
    <w:name w:val="Subtitle"/>
    <w:basedOn w:val="Normal"/>
    <w:link w:val="SubtitleChar"/>
    <w:uiPriority w:val="11"/>
    <w:semiHidden/>
    <w:unhideWhenUsed/>
    <w:qFormat/>
    <w:pPr>
      <w:numPr>
        <w:ilvl w:val="1"/>
      </w:numPr>
      <w:spacing w:after="480"/>
      <w:contextualSpacing/>
    </w:pPr>
    <w:rPr>
      <w:rFonts w:eastAsiaTheme="minorEastAsia"/>
      <w:color w:val="FF7A00" w:themeColor="accent1"/>
      <w:sz w:val="34"/>
      <w:szCs w:val="22"/>
    </w:rPr>
  </w:style>
  <w:style w:type="character" w:customStyle="1" w:styleId="SubtitleChar">
    <w:name w:val="Subtitle Char"/>
    <w:basedOn w:val="DefaultParagraphFont"/>
    <w:link w:val="Subtitle"/>
    <w:uiPriority w:val="11"/>
    <w:semiHidden/>
    <w:rPr>
      <w:rFonts w:eastAsiaTheme="minorEastAsia"/>
      <w:color w:val="FF7A00" w:themeColor="accent1"/>
      <w:sz w:val="34"/>
      <w:szCs w:val="22"/>
    </w:rPr>
  </w:style>
  <w:style w:type="character" w:styleId="SubtleEmphasis">
    <w:name w:val="Subtle Emphasis"/>
    <w:basedOn w:val="DefaultParagraphFont"/>
    <w:uiPriority w:val="19"/>
    <w:semiHidden/>
    <w:unhideWhenUsed/>
    <w:qFormat/>
    <w:rPr>
      <w:i/>
      <w:iCs/>
      <w:color w:val="666660" w:themeColor="text2" w:themeTint="BF"/>
    </w:rPr>
  </w:style>
  <w:style w:type="character" w:styleId="IntenseEmphasis">
    <w:name w:val="Intense Emphasis"/>
    <w:basedOn w:val="DefaultParagraphFont"/>
    <w:uiPriority w:val="21"/>
    <w:semiHidden/>
    <w:unhideWhenUsed/>
    <w:qFormat/>
    <w:rPr>
      <w:b/>
      <w:i/>
      <w:iCs/>
      <w:color w:val="454541" w:themeColor="text2" w:themeTint="E6"/>
    </w:rPr>
  </w:style>
  <w:style w:type="character" w:styleId="Strong">
    <w:name w:val="Strong"/>
    <w:basedOn w:val="DefaultParagraphFont"/>
    <w:uiPriority w:val="22"/>
    <w:semiHidden/>
    <w:unhideWhenUsed/>
    <w:qFormat/>
    <w:rPr>
      <w:b/>
      <w:bCs/>
      <w:color w:val="666660" w:themeColor="text2" w:themeTint="BF"/>
    </w:rPr>
  </w:style>
  <w:style w:type="paragraph" w:styleId="Quote">
    <w:name w:val="Quote"/>
    <w:basedOn w:val="Normal"/>
    <w:next w:val="Normal"/>
    <w:link w:val="QuoteChar"/>
    <w:uiPriority w:val="29"/>
    <w:semiHidden/>
    <w:unhideWhenUsed/>
    <w:qFormat/>
    <w:pPr>
      <w:spacing w:before="320" w:after="320"/>
    </w:pPr>
    <w:rPr>
      <w:i/>
      <w:iCs/>
      <w:sz w:val="34"/>
    </w:rPr>
  </w:style>
  <w:style w:type="character" w:customStyle="1" w:styleId="QuoteChar">
    <w:name w:val="Quote Char"/>
    <w:basedOn w:val="DefaultParagraphFont"/>
    <w:link w:val="Quote"/>
    <w:uiPriority w:val="29"/>
    <w:semiHidden/>
    <w:rPr>
      <w:i/>
      <w:iCs/>
      <w:sz w:val="34"/>
    </w:rPr>
  </w:style>
  <w:style w:type="paragraph" w:styleId="IntenseQuote">
    <w:name w:val="Intense Quote"/>
    <w:basedOn w:val="Normal"/>
    <w:next w:val="Normal"/>
    <w:link w:val="IntenseQuoteChar"/>
    <w:uiPriority w:val="30"/>
    <w:semiHidden/>
    <w:unhideWhenUsed/>
    <w:qFormat/>
    <w:pPr>
      <w:spacing w:before="320" w:after="320"/>
    </w:pPr>
    <w:rPr>
      <w:b/>
      <w:i/>
      <w:iCs/>
      <w:color w:val="454541" w:themeColor="text2" w:themeTint="E6"/>
      <w:sz w:val="34"/>
    </w:rPr>
  </w:style>
  <w:style w:type="character" w:customStyle="1" w:styleId="IntenseQuoteChar">
    <w:name w:val="Intense Quote Char"/>
    <w:basedOn w:val="DefaultParagraphFont"/>
    <w:link w:val="IntenseQuote"/>
    <w:uiPriority w:val="30"/>
    <w:semiHidden/>
    <w:rPr>
      <w:b/>
      <w:i/>
      <w:iCs/>
      <w:color w:val="454541" w:themeColor="text2" w:themeTint="E6"/>
      <w:sz w:val="34"/>
    </w:rPr>
  </w:style>
  <w:style w:type="character" w:styleId="SubtleReference">
    <w:name w:val="Subtle Reference"/>
    <w:basedOn w:val="DefaultParagraphFont"/>
    <w:uiPriority w:val="31"/>
    <w:semiHidden/>
    <w:unhideWhenUsed/>
    <w:qFormat/>
    <w:rPr>
      <w:caps/>
      <w:smallCaps w:val="0"/>
      <w:color w:val="666660" w:themeColor="text2" w:themeTint="BF"/>
    </w:rPr>
  </w:style>
  <w:style w:type="character" w:styleId="IntenseReference">
    <w:name w:val="Intense Reference"/>
    <w:basedOn w:val="DefaultParagraphFont"/>
    <w:uiPriority w:val="32"/>
    <w:semiHidden/>
    <w:unhideWhenUsed/>
    <w:qFormat/>
    <w:rPr>
      <w:b/>
      <w:bCs/>
      <w:caps/>
      <w:smallCaps w:val="0"/>
      <w:color w:val="666660" w:themeColor="text2" w:themeTint="BF"/>
      <w:spacing w:val="0"/>
    </w:rPr>
  </w:style>
  <w:style w:type="paragraph" w:styleId="Caption">
    <w:name w:val="caption"/>
    <w:basedOn w:val="Normal"/>
    <w:next w:val="Normal"/>
    <w:uiPriority w:val="35"/>
    <w:semiHidden/>
    <w:unhideWhenUsed/>
    <w:qFormat/>
    <w:pPr>
      <w:spacing w:after="200" w:line="240" w:lineRule="auto"/>
    </w:pPr>
    <w:rPr>
      <w:i/>
      <w:iCs/>
      <w:sz w:val="20"/>
      <w:szCs w:val="18"/>
    </w:rPr>
  </w:style>
  <w:style w:type="paragraph" w:styleId="TOCHeading">
    <w:name w:val="TOC Heading"/>
    <w:basedOn w:val="Heading1"/>
    <w:next w:val="Normal"/>
    <w:uiPriority w:val="39"/>
    <w:semiHidden/>
    <w:unhideWhenUsed/>
    <w:qFormat/>
    <w:pPr>
      <w:outlineLvl w:val="9"/>
    </w:pPr>
  </w:style>
  <w:style w:type="character" w:styleId="PlaceholderText">
    <w:name w:val="Placeholder Text"/>
    <w:basedOn w:val="DefaultParagraphFont"/>
    <w:uiPriority w:val="99"/>
    <w:semiHidden/>
    <w:rPr>
      <w:color w:val="808080"/>
    </w:rPr>
  </w:style>
  <w:style w:type="character" w:styleId="BookTitle">
    <w:name w:val="Book Title"/>
    <w:basedOn w:val="DefaultParagraphFont"/>
    <w:uiPriority w:val="33"/>
    <w:semiHidden/>
    <w:unhideWhenUsed/>
    <w:rPr>
      <w:b w:val="0"/>
      <w:bCs/>
      <w:i w:val="0"/>
      <w:iCs/>
      <w:spacing w:val="0"/>
      <w:u w:val="single"/>
    </w:rPr>
  </w:style>
  <w:style w:type="paragraph" w:styleId="TOAHeading">
    <w:name w:val="toa heading"/>
    <w:basedOn w:val="Normal"/>
    <w:next w:val="Normal"/>
    <w:uiPriority w:val="99"/>
    <w:semiHidden/>
    <w:unhideWhenUsed/>
    <w:pPr>
      <w:spacing w:before="120"/>
    </w:pPr>
    <w:rPr>
      <w:rFonts w:asciiTheme="majorHAnsi" w:eastAsiaTheme="majorEastAsia" w:hAnsiTheme="majorHAnsi" w:cstheme="majorBidi"/>
      <w:b/>
      <w:bCs/>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style>
  <w:style w:type="character" w:customStyle="1" w:styleId="FooterChar">
    <w:name w:val="Footer Char"/>
    <w:basedOn w:val="DefaultParagraphFont"/>
    <w:link w:val="Footer"/>
    <w:uiPriority w:val="99"/>
  </w:style>
  <w:style w:type="paragraph" w:styleId="EndnoteText">
    <w:name w:val="endnote text"/>
    <w:basedOn w:val="Normal"/>
    <w:link w:val="EndnoteTextChar"/>
    <w:uiPriority w:val="99"/>
    <w:semiHidden/>
    <w:unhideWhenUsed/>
    <w:rsid w:val="006E146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E1460"/>
    <w:rPr>
      <w:sz w:val="20"/>
      <w:szCs w:val="20"/>
    </w:rPr>
  </w:style>
  <w:style w:type="character" w:styleId="EndnoteReference">
    <w:name w:val="endnote reference"/>
    <w:basedOn w:val="DefaultParagraphFont"/>
    <w:uiPriority w:val="99"/>
    <w:semiHidden/>
    <w:unhideWhenUsed/>
    <w:rsid w:val="006E146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nnebrown/Library/Containers/com.microsoft.Word/Data/Library/Application%20Support/Microsoft/Office/16.0/DTS/en-US%7bD5D00FB7-E1C2-2440-B003-855C83C586D2%7d/%7b2C2E97DB-55FC-E443-B444-D8A85DA9B5C5%7dtf10002069.dotx" TargetMode="External"/></Relationships>
</file>

<file path=word/theme/theme1.xml><?xml version="1.0" encoding="utf-8"?>
<a:theme xmlns:a="http://schemas.openxmlformats.org/drawingml/2006/main" name="Office Theme">
  <a:themeElements>
    <a:clrScheme name="Journal">
      <a:dk1>
        <a:sysClr val="windowText" lastClr="000000"/>
      </a:dk1>
      <a:lt1>
        <a:sysClr val="window" lastClr="FFFFFF"/>
      </a:lt1>
      <a:dk2>
        <a:srgbClr val="31312E"/>
      </a:dk2>
      <a:lt2>
        <a:srgbClr val="FDFBF9"/>
      </a:lt2>
      <a:accent1>
        <a:srgbClr val="FF7A00"/>
      </a:accent1>
      <a:accent2>
        <a:srgbClr val="FF6275"/>
      </a:accent2>
      <a:accent3>
        <a:srgbClr val="9CC346"/>
      </a:accent3>
      <a:accent4>
        <a:srgbClr val="A96EB6"/>
      </a:accent4>
      <a:accent5>
        <a:srgbClr val="F89A4A"/>
      </a:accent5>
      <a:accent6>
        <a:srgbClr val="E7D364"/>
      </a:accent6>
      <a:hlink>
        <a:srgbClr val="34B6C3"/>
      </a:hlink>
      <a:folHlink>
        <a:srgbClr val="A96EB6"/>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1677FF-05E2-674C-96C5-2DDDCC656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Write a Journal.dotx</Template>
  <TotalTime>228</TotalTime>
  <Pages>3</Pages>
  <Words>633</Words>
  <Characters>3610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Brown</dc:creator>
  <cp:keywords/>
  <dc:description/>
  <cp:lastModifiedBy>Anne Brown</cp:lastModifiedBy>
  <cp:revision>99</cp:revision>
  <cp:lastPrinted>2024-10-17T12:50:00Z</cp:lastPrinted>
  <dcterms:created xsi:type="dcterms:W3CDTF">2024-10-16T17:32:00Z</dcterms:created>
  <dcterms:modified xsi:type="dcterms:W3CDTF">2024-11-01T08:40:00Z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TF10002001</vt:lpwstr>
  </property>
</Properties>
</file>