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8509" w:leader="none"/>
        </w:tabs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  <w:t>WIGHILL PARISH COUNCIL</w:t>
      </w:r>
    </w:p>
    <w:p>
      <w:pPr>
        <w:pStyle w:val="Normal"/>
        <w:jc w:val="center"/>
        <w:rPr>
          <w:rFonts w:ascii="Calibri" w:hAnsi="Calibri"/>
          <w:b/>
          <w:b/>
          <w:bCs/>
        </w:rPr>
      </w:pPr>
      <w:r>
        <w:rPr>
          <w:rFonts w:ascii="Calibri" w:hAnsi="Calibri"/>
          <w:b/>
          <w:bCs/>
        </w:rPr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>Bank Reconciliation 20</w:t>
      </w:r>
      <w:r>
        <w:rPr>
          <w:rFonts w:ascii="Calibri" w:hAnsi="Calibri"/>
          <w:b/>
          <w:bCs/>
        </w:rPr>
        <w:t>20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jc w:val="left"/>
        <w:rPr/>
      </w:pPr>
      <w:r>
        <w:rPr>
          <w:rFonts w:ascii="Calibri" w:hAnsi="Calibri"/>
          <w:b w:val="false"/>
          <w:bCs w:val="false"/>
        </w:rPr>
        <w:t>Financial Year Ended 31 March 2019 Prepared by L T I Grant Clerk/RFO 1 April 20</w:t>
      </w:r>
      <w:r>
        <w:rPr>
          <w:rFonts w:ascii="Calibri" w:hAnsi="Calibri"/>
          <w:b w:val="false"/>
          <w:bCs w:val="false"/>
        </w:rPr>
        <w:t>20</w:t>
      </w:r>
    </w:p>
    <w:p>
      <w:pPr>
        <w:pStyle w:val="Normal"/>
        <w:jc w:val="left"/>
        <w:rPr>
          <w:rFonts w:ascii="Calibri" w:hAnsi="Calibri"/>
          <w:b w:val="false"/>
          <w:b w:val="false"/>
          <w:bCs w:val="false"/>
        </w:rPr>
      </w:pPr>
      <w:r>
        <w:rPr>
          <w:rFonts w:ascii="Calibri" w:hAnsi="Calibri"/>
          <w:b w:val="false"/>
          <w:bCs w:val="false"/>
        </w:rPr>
      </w:r>
    </w:p>
    <w:p>
      <w:pPr>
        <w:pStyle w:val="Normal"/>
        <w:tabs>
          <w:tab w:val="clear" w:pos="709"/>
          <w:tab w:val="left" w:pos="8332" w:leader="none"/>
        </w:tabs>
        <w:rPr/>
      </w:pPr>
      <w:r>
        <w:rPr>
          <w:rFonts w:ascii="Calibri" w:hAnsi="Calibri"/>
          <w:b w:val="false"/>
          <w:bCs w:val="false"/>
        </w:rPr>
        <w:t>Balance per Bank Statement as at 31 M</w:t>
      </w:r>
      <w:r>
        <w:rPr/>
        <w:t>arch</w:t>
      </w:r>
      <w:r>
        <w:rPr>
          <w:rFonts w:ascii="Calibri" w:hAnsi="Calibri"/>
          <w:sz w:val="24"/>
          <w:szCs w:val="24"/>
        </w:rPr>
        <w:t xml:space="preserve"> 20</w:t>
      </w:r>
      <w:r>
        <w:rPr>
          <w:rFonts w:ascii="Calibri" w:hAnsi="Calibri"/>
          <w:sz w:val="24"/>
          <w:szCs w:val="24"/>
        </w:rPr>
        <w:t>20</w:t>
      </w:r>
      <w:r>
        <w:rPr>
          <w:rFonts w:ascii="Calibri" w:hAnsi="Calibri"/>
          <w:sz w:val="24"/>
          <w:szCs w:val="24"/>
        </w:rPr>
        <w:tab/>
        <w:t>£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Community Account</w:t>
        <w:tab/>
        <w:tab/>
        <w:t>0.00</w:t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HSBC Business Money Manager Account</w:t>
        <w:tab/>
        <w:tab/>
      </w:r>
      <w:r>
        <w:rPr>
          <w:rFonts w:ascii="Calibri" w:hAnsi="Calibri"/>
          <w:sz w:val="24"/>
          <w:szCs w:val="24"/>
        </w:rPr>
        <w:t>501.99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>Balance at 31 March 201</w:t>
      </w:r>
      <w:r>
        <w:rPr>
          <w:rFonts w:ascii="Calibri" w:hAnsi="Calibri"/>
          <w:sz w:val="24"/>
          <w:szCs w:val="24"/>
        </w:rPr>
        <w:t>9</w:t>
      </w:r>
      <w:r>
        <w:rPr>
          <w:rFonts w:ascii="Calibri" w:hAnsi="Calibri"/>
          <w:sz w:val="24"/>
          <w:szCs w:val="24"/>
        </w:rPr>
        <w:tab/>
        <w:tab/>
      </w:r>
      <w:r>
        <w:rPr>
          <w:rFonts w:ascii="Calibri" w:hAnsi="Calibri"/>
          <w:sz w:val="24"/>
          <w:szCs w:val="24"/>
        </w:rPr>
        <w:t>501.99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net balances reconcile to the receipts and payments account for the year as follows: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Receipts and Payments Account</w:t>
      </w:r>
    </w:p>
    <w:p>
      <w:pPr>
        <w:pStyle w:val="Normal"/>
        <w:tabs>
          <w:tab w:val="clear" w:pos="709"/>
          <w:tab w:val="decimal" w:pos="8332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 w:val="false"/>
          <w:bCs w:val="false"/>
          <w:sz w:val="24"/>
          <w:szCs w:val="24"/>
        </w:rPr>
        <w:t>Opening balance at 1 April 201</w:t>
      </w:r>
      <w:r>
        <w:rPr>
          <w:rFonts w:ascii="Calibri" w:hAnsi="Calibri"/>
          <w:b w:val="false"/>
          <w:bCs w:val="false"/>
          <w:sz w:val="24"/>
          <w:szCs w:val="24"/>
        </w:rPr>
        <w:t>9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</w:t>
        <w:tab/>
      </w:r>
      <w:r>
        <w:rPr>
          <w:rFonts w:ascii="Calibri" w:hAnsi="Calibri"/>
          <w:b w:val="false"/>
          <w:bCs w:val="false"/>
          <w:sz w:val="24"/>
          <w:szCs w:val="24"/>
        </w:rPr>
        <w:t>768.02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 xml:space="preserve">Add </w:t>
      </w:r>
      <w:r>
        <w:rPr>
          <w:rFonts w:ascii="Calibri" w:hAnsi="Calibri"/>
          <w:b w:val="false"/>
          <w:bCs w:val="false"/>
          <w:sz w:val="24"/>
          <w:szCs w:val="24"/>
        </w:rPr>
        <w:t>Receipts in year</w:t>
        <w:tab/>
        <w:t>1,125.</w:t>
      </w:r>
      <w:r>
        <w:rPr>
          <w:rFonts w:ascii="Calibri" w:hAnsi="Calibri"/>
          <w:b w:val="false"/>
          <w:bCs w:val="false"/>
          <w:sz w:val="24"/>
          <w:szCs w:val="24"/>
        </w:rPr>
        <w:t>81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Deduct</w:t>
      </w:r>
      <w:r>
        <w:rPr>
          <w:rFonts w:ascii="Calibri" w:hAnsi="Calibri"/>
          <w:b w:val="false"/>
          <w:bCs w:val="false"/>
          <w:sz w:val="24"/>
          <w:szCs w:val="24"/>
        </w:rPr>
        <w:t xml:space="preserve"> Payments in year</w:t>
        <w:tab/>
        <w:t>1,</w:t>
      </w:r>
      <w:r>
        <w:rPr>
          <w:rFonts w:ascii="Calibri" w:hAnsi="Calibri"/>
          <w:b w:val="false"/>
          <w:bCs w:val="false"/>
          <w:sz w:val="24"/>
          <w:szCs w:val="24"/>
        </w:rPr>
        <w:t>391.84</w:t>
      </w:r>
    </w:p>
    <w:p>
      <w:pPr>
        <w:pStyle w:val="Normal"/>
        <w:rPr/>
      </w:pPr>
      <w:r>
        <w:rPr>
          <w:rFonts w:ascii="Calibri" w:hAnsi="Calibri"/>
          <w:b/>
          <w:bCs/>
          <w:sz w:val="24"/>
          <w:szCs w:val="24"/>
        </w:rPr>
        <w:t>BALANCE CARRIED FORWARD 31 MARCH 20</w:t>
      </w:r>
      <w:r>
        <w:rPr>
          <w:rFonts w:ascii="Calibri" w:hAnsi="Calibri"/>
          <w:b/>
          <w:bCs/>
          <w:sz w:val="24"/>
          <w:szCs w:val="24"/>
        </w:rPr>
        <w:t>20</w:t>
      </w:r>
      <w:r>
        <w:rPr>
          <w:rFonts w:ascii="Calibri" w:hAnsi="Calibri"/>
          <w:b w:val="false"/>
          <w:bCs w:val="false"/>
          <w:sz w:val="24"/>
          <w:szCs w:val="24"/>
        </w:rPr>
        <w:tab/>
        <w:t xml:space="preserve">             </w:t>
        <w:tab/>
        <w:tab/>
        <w:tab/>
        <w:tab/>
        <w:t xml:space="preserve">            </w:t>
      </w:r>
      <w:r>
        <w:rPr>
          <w:rFonts w:ascii="Calibri" w:hAnsi="Calibri"/>
          <w:b w:val="false"/>
          <w:bCs w:val="false"/>
          <w:sz w:val="24"/>
          <w:szCs w:val="24"/>
        </w:rPr>
        <w:t>501.99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/>
          <w:bCs/>
          <w:sz w:val="24"/>
          <w:szCs w:val="24"/>
        </w:rPr>
        <w:t>The Cumulative Balance is Represented by:-</w:t>
      </w:r>
    </w:p>
    <w:p>
      <w:pPr>
        <w:pStyle w:val="Normal"/>
        <w:tabs>
          <w:tab w:val="clear" w:pos="709"/>
          <w:tab w:val="decimal" w:pos="8386" w:leader="none"/>
        </w:tabs>
        <w:rPr>
          <w:rFonts w:ascii="Calibri" w:hAnsi="Calibri"/>
          <w:b w:val="false"/>
          <w:b w:val="false"/>
          <w:bCs w:val="false"/>
          <w:sz w:val="24"/>
          <w:szCs w:val="24"/>
        </w:rPr>
      </w:pPr>
      <w:r>
        <w:rPr>
          <w:rFonts w:ascii="Calibri" w:hAnsi="Calibri"/>
          <w:b w:val="false"/>
          <w:bCs w:val="false"/>
          <w:sz w:val="24"/>
          <w:szCs w:val="24"/>
        </w:rPr>
      </w:r>
    </w:p>
    <w:p>
      <w:pPr>
        <w:pStyle w:val="Normal"/>
        <w:tabs>
          <w:tab w:val="clear" w:pos="709"/>
          <w:tab w:val="decimal" w:pos="8386" w:leader="none"/>
        </w:tabs>
        <w:rPr>
          <w:b/>
          <w:b/>
          <w:bCs/>
        </w:rPr>
      </w:pPr>
      <w:r>
        <w:rPr>
          <w:rFonts w:ascii="Calibri" w:hAnsi="Calibri"/>
          <w:b w:val="false"/>
          <w:bCs w:val="false"/>
          <w:sz w:val="24"/>
          <w:szCs w:val="24"/>
        </w:rPr>
        <w:t>Community Account</w:t>
        <w:tab/>
        <w:tab/>
        <w:t xml:space="preserve">     0.00</w:t>
      </w:r>
    </w:p>
    <w:p>
      <w:pPr>
        <w:pStyle w:val="Normal"/>
        <w:rPr/>
      </w:pPr>
      <w:r>
        <w:rPr>
          <w:rFonts w:ascii="Calibri" w:hAnsi="Calibri"/>
          <w:b w:val="false"/>
          <w:bCs w:val="false"/>
          <w:sz w:val="24"/>
          <w:szCs w:val="24"/>
        </w:rPr>
        <w:t xml:space="preserve">Business Money Management Account </w:t>
        <w:tab/>
        <w:tab/>
        <w:tab/>
        <w:tab/>
        <w:t xml:space="preserve">                                       </w:t>
      </w:r>
      <w:r>
        <w:rPr>
          <w:rFonts w:ascii="Calibri" w:hAnsi="Calibri"/>
          <w:b w:val="false"/>
          <w:bCs w:val="false"/>
          <w:sz w:val="24"/>
          <w:szCs w:val="24"/>
        </w:rPr>
        <w:t>501.99</w:t>
      </w:r>
    </w:p>
    <w:p>
      <w:pPr>
        <w:pStyle w:val="Normal"/>
        <w:tabs>
          <w:tab w:val="clear" w:pos="709"/>
          <w:tab w:val="decimal" w:pos="8386" w:leader="none"/>
        </w:tabs>
        <w:rPr/>
      </w:pPr>
      <w:r>
        <w:rPr>
          <w:rFonts w:ascii="Calibri" w:hAnsi="Calibri"/>
          <w:b/>
          <w:bCs/>
          <w:sz w:val="24"/>
          <w:szCs w:val="24"/>
        </w:rPr>
        <w:t>TOTAL</w:t>
        <w:tab/>
        <w:t xml:space="preserve">      </w:t>
      </w:r>
      <w:r>
        <w:rPr>
          <w:rFonts w:ascii="Calibri" w:hAnsi="Calibri"/>
          <w:b/>
          <w:bCs/>
          <w:sz w:val="24"/>
          <w:szCs w:val="24"/>
        </w:rPr>
        <w:tab/>
        <w:t>501.99</w:t>
      </w:r>
      <w:r>
        <w:rPr>
          <w:rFonts w:ascii="Calibri" w:hAnsi="Calibri"/>
          <w:b/>
          <w:bCs/>
          <w:sz w:val="24"/>
          <w:szCs w:val="24"/>
        </w:rPr>
        <w:tab/>
        <w:tab/>
        <w:t xml:space="preserve">   </w:t>
        <w:tab/>
        <w:tab/>
        <w:tab/>
      </w:r>
      <w:r>
        <w:rPr>
          <w:rFonts w:ascii="Calibri" w:hAnsi="Calibri"/>
          <w:b w:val="false"/>
          <w:bCs w:val="false"/>
          <w:sz w:val="24"/>
          <w:szCs w:val="24"/>
        </w:rPr>
        <w:tab/>
        <w:tab/>
        <w:tab/>
        <w:tab/>
        <w:tab/>
      </w:r>
    </w:p>
    <w:p>
      <w:pPr>
        <w:pStyle w:val="Normal"/>
        <w:tabs>
          <w:tab w:val="clear" w:pos="709"/>
          <w:tab w:val="left" w:pos="8332" w:leader="none"/>
        </w:tabs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</w:r>
    </w:p>
    <w:p>
      <w:pPr>
        <w:pStyle w:val="Normal"/>
        <w:tabs>
          <w:tab w:val="clear" w:pos="709"/>
          <w:tab w:val="decimal" w:pos="8332" w:leader="none"/>
        </w:tabs>
        <w:rPr/>
      </w:pPr>
      <w:r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ab/>
        <w:tab/>
        <w:tab/>
        <w:tab/>
        <w:tab/>
        <w:tab/>
      </w:r>
      <w:r>
        <w:rPr/>
        <w:t xml:space="preserve"> </w:t>
      </w:r>
    </w:p>
    <w:p>
      <w:pPr>
        <w:pStyle w:val="Normal"/>
        <w:jc w:val="left"/>
        <w:rPr/>
      </w:pPr>
      <w:r>
        <w:rPr>
          <w:rFonts w:ascii="Calibri" w:hAnsi="Calibri"/>
          <w:b/>
          <w:bCs/>
        </w:rPr>
        <w:tab/>
      </w:r>
    </w:p>
    <w:sectPr>
      <w:footerReference w:type="default" r:id="rId2"/>
      <w:type w:val="nextPage"/>
      <w:pgSz w:w="11906" w:h="16838"/>
      <w:pgMar w:left="1134" w:right="1134" w:header="0" w:top="1134" w:footer="1134" w:bottom="1693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Calibri">
    <w:charset w:val="00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Footer"/>
      <w:rPr/>
    </w:pPr>
    <w:r>
      <w:rPr/>
      <w:t>01.04.</w:t>
    </w:r>
    <w:r>
      <w:rPr/>
      <w:t>20</w:t>
    </w:r>
  </w:p>
</w:ftr>
</file>

<file path=word/settings.xml><?xml version="1.0" encoding="utf-8"?>
<w:settings xmlns:w="http://schemas.openxmlformats.org/wordprocessingml/2006/main">
  <w:zoom w:percent="110"/>
  <w:defaultTabStop w:val="709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imSun" w:cs="Arial"/>
        <w:sz w:val="20"/>
        <w:szCs w:val="24"/>
        <w:lang w:val="en-GB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  <w:spacing w:before="0" w:after="0"/>
      <w:jc w:val="left"/>
    </w:pPr>
    <w:rPr>
      <w:rFonts w:ascii="Liberation Serif" w:hAnsi="Liberation Serif" w:eastAsia="SimSun" w:cs="Arial"/>
      <w:color w:val="00000A"/>
      <w:kern w:val="0"/>
      <w:sz w:val="24"/>
      <w:szCs w:val="24"/>
      <w:lang w:val="en-GB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eaderandFooter">
    <w:name w:val="Header and Footer"/>
    <w:basedOn w:val="Normal"/>
    <w:qFormat/>
    <w:pPr/>
    <w:rPr/>
  </w:style>
  <w:style w:type="paragraph" w:styleId="Footer">
    <w:name w:val="Footer"/>
    <w:basedOn w:val="Normal"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24</TotalTime>
  <Application>LibreOffice/6.4.1.2$Windows_X86_64 LibreOffice_project/4d224e95b98b138af42a64d84056446d09082932</Application>
  <Pages>1</Pages>
  <Words>108</Words>
  <Characters>569</Characters>
  <CharactersWithSpaces>779</CharactersWithSpaces>
  <Paragraphs>20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2017-04-03T16:31:48Z</dcterms:created>
  <dc:creator/>
  <dc:description/>
  <dc:language>en-GB</dc:language>
  <cp:lastModifiedBy/>
  <cp:lastPrinted>2019-04-08T11:36:52Z</cp:lastPrinted>
  <dcterms:modified xsi:type="dcterms:W3CDTF">2020-03-31T14:30:12Z</dcterms:modified>
  <cp:revision>9</cp:revision>
  <dc:subject/>
  <dc:title/>
</cp:coreProperties>
</file>