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WEDNESDAY 28 FEBRUARY 2018</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 S Oates</w:t>
      </w:r>
    </w:p>
    <w:p>
      <w:pPr>
        <w:pStyle w:val="Normal"/>
        <w:spacing w:before="0" w:after="0"/>
        <w:jc w:val="both"/>
        <w:rPr/>
      </w:pPr>
      <w:r>
        <w:rPr>
          <w:sz w:val="24"/>
          <w:szCs w:val="24"/>
        </w:rPr>
        <w:t>Mr L T I Grant (Clerk/RFO)</w:t>
      </w:r>
    </w:p>
    <w:p>
      <w:pPr>
        <w:pStyle w:val="Normal"/>
        <w:spacing w:before="0" w:after="0"/>
        <w:jc w:val="both"/>
        <w:rPr>
          <w:b/>
          <w:b/>
          <w:bCs/>
        </w:rPr>
      </w:pPr>
      <w:r>
        <w:rPr>
          <w:b/>
          <w:bCs/>
          <w:sz w:val="24"/>
          <w:szCs w:val="24"/>
        </w:rPr>
        <w:t xml:space="preserve">Members of the Public: </w:t>
      </w:r>
      <w:r>
        <w:rPr>
          <w:b w:val="false"/>
          <w:bCs w:val="false"/>
          <w:sz w:val="24"/>
          <w:szCs w:val="24"/>
        </w:rPr>
        <w:t>Mr &amp; Mrs C Bamforth, Mr &amp; Mrs R Perry, Mr K Clow, Mr E Richardson, Ms L Richardson</w:t>
      </w:r>
    </w:p>
    <w:p>
      <w:pPr>
        <w:pStyle w:val="Normal"/>
        <w:spacing w:before="0" w:after="0"/>
        <w:jc w:val="both"/>
        <w:rPr/>
      </w:pPr>
      <w:r>
        <w:rPr>
          <w:b w:val="false"/>
          <w:bCs w:val="false"/>
          <w:sz w:val="24"/>
          <w:szCs w:val="24"/>
        </w:rPr>
        <w:t xml:space="preserve">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None received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Minutes of the Meeting Held on 07.11.17</w:t>
            </w:r>
          </w:p>
          <w:p>
            <w:pPr>
              <w:pStyle w:val="Normal"/>
              <w:spacing w:lineRule="auto" w:line="240" w:before="0" w:after="0"/>
              <w:jc w:val="both"/>
              <w:rPr/>
            </w:pPr>
            <w:r>
              <w:rPr>
                <w:sz w:val="24"/>
                <w:szCs w:val="24"/>
              </w:rPr>
              <w:t>The minutes of the meetings held on 07.11.17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bookmarkStart w:id="0" w:name="_GoBack"/>
            <w:bookmarkStart w:id="1" w:name="_GoBack"/>
            <w:bookmarkEnd w:id="1"/>
          </w:p>
        </w:tc>
      </w:tr>
      <w:tr>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Matters Arising from the Minutes of the Meeting held on 20.09.17</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The blocked road gulleys and unsafe walking surface of the footpath in Main Street, have not yet been addressed and will be reported again.</w:t>
            </w:r>
          </w:p>
          <w:p>
            <w:pPr>
              <w:pStyle w:val="Normal"/>
              <w:spacing w:lineRule="auto" w:line="240" w:before="0" w:after="0"/>
              <w:jc w:val="both"/>
              <w:rPr/>
            </w:pPr>
            <w:r>
              <w:rPr>
                <w:sz w:val="24"/>
                <w:szCs w:val="24"/>
                <w:u w:val="single"/>
              </w:rPr>
              <w:t>Street Lighting Issues</w:t>
            </w:r>
          </w:p>
          <w:p>
            <w:pPr>
              <w:pStyle w:val="Normal"/>
              <w:spacing w:lineRule="auto" w:line="240" w:before="0" w:after="0"/>
              <w:jc w:val="both"/>
              <w:rPr/>
            </w:pPr>
            <w:r>
              <w:rPr>
                <w:b w:val="false"/>
                <w:bCs w:val="false"/>
                <w:sz w:val="24"/>
                <w:szCs w:val="24"/>
                <w:u w:val="none"/>
              </w:rPr>
              <w:t>The faulty street lights were repaired but further problems are now noted. Cll</w:t>
            </w:r>
            <w:r>
              <w:rPr>
                <w:b w:val="false"/>
                <w:bCs w:val="false"/>
                <w:sz w:val="24"/>
                <w:szCs w:val="24"/>
                <w:u w:val="none"/>
              </w:rPr>
              <w:t>r</w:t>
            </w:r>
            <w:r>
              <w:rPr>
                <w:b w:val="false"/>
                <w:bCs w:val="false"/>
                <w:sz w:val="24"/>
                <w:szCs w:val="24"/>
                <w:u w:val="none"/>
              </w:rPr>
              <w:t xml:space="preserve"> Mr A Roberts will report the further problems through NYCC’s web site.</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AR</w:t>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left" w:pos="6548" w:leader="none"/>
              </w:tabs>
              <w:spacing w:lineRule="auto" w:line="240" w:before="0" w:after="0"/>
              <w:jc w:val="both"/>
              <w:rPr/>
            </w:pPr>
            <w:r>
              <w:rPr>
                <w:sz w:val="24"/>
                <w:szCs w:val="24"/>
              </w:rPr>
              <w:t>The Community Police Beat Manager and PCSO were not able to attend the meeting.</w:t>
            </w:r>
          </w:p>
          <w:p>
            <w:pPr>
              <w:pStyle w:val="Normal"/>
              <w:tabs>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rPr>
              <w:t>The Bank Balances at 31.01.18 were</w:t>
            </w:r>
          </w:p>
          <w:p>
            <w:pPr>
              <w:pStyle w:val="ListParagraph"/>
              <w:numPr>
                <w:ilvl w:val="0"/>
                <w:numId w:val="3"/>
              </w:numPr>
              <w:spacing w:lineRule="auto" w:line="240" w:before="0" w:after="0"/>
              <w:contextualSpacing/>
              <w:jc w:val="both"/>
              <w:rPr/>
            </w:pPr>
            <w:r>
              <w:rPr>
                <w:sz w:val="24"/>
                <w:szCs w:val="24"/>
              </w:rPr>
              <w:t>Business Money Management £808.65</w:t>
            </w:r>
          </w:p>
          <w:p>
            <w:pPr>
              <w:pStyle w:val="ListParagraph"/>
              <w:numPr>
                <w:ilvl w:val="0"/>
                <w:numId w:val="3"/>
              </w:numPr>
              <w:spacing w:lineRule="auto" w:line="240" w:before="0" w:after="0"/>
              <w:contextualSpacing/>
              <w:jc w:val="both"/>
              <w:rPr/>
            </w:pPr>
            <w:r>
              <w:rPr>
                <w:sz w:val="24"/>
                <w:szCs w:val="24"/>
              </w:rPr>
              <w:t>Community Account £0.00</w:t>
            </w:r>
          </w:p>
          <w:p>
            <w:pPr>
              <w:pStyle w:val="Normal"/>
              <w:spacing w:lineRule="auto" w:line="240" w:before="0" w:after="0"/>
              <w:jc w:val="both"/>
              <w:rPr>
                <w:u w:val="none"/>
              </w:rPr>
            </w:pPr>
            <w:r>
              <w:rPr>
                <w:sz w:val="24"/>
                <w:szCs w:val="24"/>
                <w:u w:val="none"/>
              </w:rPr>
              <w:t>There were no comments or queries from Councillors about the PC’s bank accounts or financial statements circulated.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sz w:val="24"/>
                <w:szCs w:val="24"/>
              </w:rPr>
            </w:pPr>
            <w:r>
              <w:rPr>
                <w:sz w:val="24"/>
                <w:szCs w:val="24"/>
              </w:rPr>
              <w:t>Planning Applications received and to be determined:</w:t>
            </w:r>
          </w:p>
          <w:p>
            <w:pPr>
              <w:pStyle w:val="Normal"/>
              <w:numPr>
                <w:ilvl w:val="0"/>
                <w:numId w:val="1"/>
              </w:numPr>
              <w:spacing w:lineRule="auto" w:line="240" w:before="0" w:after="0"/>
              <w:jc w:val="both"/>
              <w:rPr/>
            </w:pPr>
            <w:r>
              <w:rPr>
                <w:sz w:val="24"/>
                <w:szCs w:val="24"/>
              </w:rPr>
              <w:t>The White Swan Wighill – Conversion of storage buildings to form Village Shop &amp; 8 Letting bedrooms</w:t>
            </w:r>
          </w:p>
          <w:p>
            <w:pPr>
              <w:pStyle w:val="Normal"/>
              <w:spacing w:lineRule="auto" w:line="240" w:before="0" w:after="0"/>
              <w:jc w:val="both"/>
              <w:rPr/>
            </w:pPr>
            <w:r>
              <w:rPr>
                <w:sz w:val="24"/>
                <w:szCs w:val="24"/>
              </w:rPr>
              <w:t>After discussion, Cllrs agreed to instruct the Clerk to respond:</w:t>
            </w:r>
          </w:p>
          <w:p>
            <w:pPr>
              <w:pStyle w:val="Normal"/>
              <w:spacing w:lineRule="auto" w:line="240" w:before="0" w:after="0"/>
              <w:jc w:val="both"/>
              <w:rPr>
                <w:b/>
                <w:b/>
                <w:bCs/>
              </w:rPr>
            </w:pPr>
            <w:r>
              <w:rPr>
                <w:b/>
                <w:bCs/>
                <w:sz w:val="24"/>
                <w:szCs w:val="24"/>
              </w:rPr>
              <w:t>( A ) The Parish Council  does not Object to the Application</w:t>
            </w:r>
          </w:p>
          <w:p>
            <w:pPr>
              <w:pStyle w:val="Normal"/>
              <w:numPr>
                <w:ilvl w:val="0"/>
                <w:numId w:val="4"/>
              </w:numPr>
              <w:spacing w:lineRule="auto" w:line="240" w:before="0" w:after="0"/>
              <w:jc w:val="both"/>
              <w:rPr/>
            </w:pPr>
            <w:r>
              <w:rPr>
                <w:sz w:val="24"/>
                <w:szCs w:val="24"/>
              </w:rPr>
              <w:t>The Forge Wighill – Erection of a single storey extension</w:t>
            </w:r>
          </w:p>
          <w:p>
            <w:pPr>
              <w:pStyle w:val="Normal"/>
              <w:spacing w:lineRule="auto" w:line="240" w:before="0" w:after="0"/>
              <w:jc w:val="both"/>
              <w:rPr/>
            </w:pPr>
            <w:r>
              <w:rPr>
                <w:sz w:val="24"/>
                <w:szCs w:val="24"/>
              </w:rPr>
              <w:t>After discussion, Cllrs agreed to instruct the Clerk to respond:</w:t>
            </w:r>
          </w:p>
          <w:p>
            <w:pPr>
              <w:pStyle w:val="Normal"/>
              <w:spacing w:lineRule="auto" w:line="240" w:before="0" w:after="0"/>
              <w:jc w:val="both"/>
              <w:rPr/>
            </w:pPr>
            <w:r>
              <w:rPr>
                <w:sz w:val="24"/>
                <w:szCs w:val="24"/>
              </w:rPr>
              <w:t>(</w:t>
            </w:r>
            <w:r>
              <w:rPr>
                <w:b/>
                <w:bCs/>
                <w:sz w:val="24"/>
                <w:szCs w:val="24"/>
              </w:rPr>
              <w:t xml:space="preserve"> A ) The Parish Council does not object to the Application</w:t>
            </w:r>
          </w:p>
          <w:p>
            <w:pPr>
              <w:pStyle w:val="Normal"/>
              <w:numPr>
                <w:ilvl w:val="0"/>
                <w:numId w:val="5"/>
              </w:numPr>
              <w:spacing w:lineRule="auto" w:line="240" w:before="0" w:after="0"/>
              <w:jc w:val="both"/>
              <w:rPr/>
            </w:pPr>
            <w:r>
              <w:rPr>
                <w:sz w:val="24"/>
                <w:szCs w:val="24"/>
              </w:rPr>
              <w:t>20 Church Lane Wighill – Erection of a single storey extension an</w:t>
            </w:r>
          </w:p>
          <w:p>
            <w:pPr>
              <w:pStyle w:val="Normal"/>
              <w:spacing w:lineRule="auto" w:line="240" w:before="0" w:after="0"/>
              <w:jc w:val="both"/>
              <w:rPr/>
            </w:pPr>
            <w:r>
              <w:rPr>
                <w:sz w:val="24"/>
                <w:szCs w:val="24"/>
              </w:rPr>
              <w:t>After discussion, Cllrs agreed to instruct the Clerk to respond:</w:t>
            </w:r>
          </w:p>
          <w:p>
            <w:pPr>
              <w:pStyle w:val="Normal"/>
              <w:spacing w:lineRule="auto" w:line="240" w:before="0" w:after="0"/>
              <w:jc w:val="both"/>
              <w:rPr>
                <w:b/>
                <w:b/>
                <w:bCs/>
              </w:rPr>
            </w:pPr>
            <w:r>
              <w:rPr>
                <w:b/>
                <w:bCs/>
                <w:sz w:val="24"/>
                <w:szCs w:val="24"/>
              </w:rPr>
              <w:t>( A ) The Parish Council  does not object to the Application.</w:t>
            </w:r>
          </w:p>
          <w:p>
            <w:pPr>
              <w:pStyle w:val="Normal"/>
              <w:numPr>
                <w:ilvl w:val="0"/>
                <w:numId w:val="6"/>
              </w:numPr>
              <w:spacing w:lineRule="auto" w:line="240" w:before="0" w:after="0"/>
              <w:jc w:val="both"/>
              <w:rPr/>
            </w:pPr>
            <w:r>
              <w:rPr>
                <w:sz w:val="24"/>
                <w:szCs w:val="24"/>
              </w:rPr>
              <w:t>The White Swan – Erection of 1 dwelling.</w:t>
            </w:r>
          </w:p>
          <w:p>
            <w:pPr>
              <w:pStyle w:val="Normal"/>
              <w:spacing w:lineRule="auto" w:line="240" w:before="0" w:after="0"/>
              <w:jc w:val="both"/>
              <w:rPr/>
            </w:pPr>
            <w:r>
              <w:rPr>
                <w:sz w:val="24"/>
                <w:szCs w:val="24"/>
              </w:rPr>
              <w:t>After much discussion with members of the public attending the meeting, Cllrs agreed to instruct the Clerk to respond:</w:t>
            </w:r>
          </w:p>
          <w:p>
            <w:pPr>
              <w:pStyle w:val="Normal"/>
              <w:spacing w:lineRule="auto" w:line="240" w:before="0" w:after="0"/>
              <w:jc w:val="both"/>
              <w:rPr>
                <w:b/>
                <w:b/>
                <w:bCs/>
              </w:rPr>
            </w:pPr>
            <w:r>
              <w:rPr>
                <w:b/>
                <w:bCs/>
                <w:sz w:val="24"/>
                <w:szCs w:val="24"/>
              </w:rPr>
              <w:t>( B ) The Parish Council OBJECTS on the following Planning Grounds:</w:t>
            </w:r>
          </w:p>
          <w:p>
            <w:pPr>
              <w:pStyle w:val="Normal"/>
              <w:jc w:val="both"/>
              <w:rPr/>
            </w:pPr>
            <w:r>
              <w:rPr/>
              <w:t>Wighill is a small rural Village, which by HBC’s own definition is unsustainable. It currently has no shop and has limited access to public transport, which operates on a commercial basis, subject to continued adequate usage and viability. There is no evening or Sunday service.</w:t>
            </w:r>
          </w:p>
          <w:p>
            <w:pPr>
              <w:pStyle w:val="Normal"/>
              <w:jc w:val="both"/>
              <w:rPr/>
            </w:pPr>
            <w:r>
              <w:rPr/>
              <w:t>Wighill is not identified in the hierarchy of settlements identified in policy SG2 of the Core Strategy and therefore the land must be considered under policies SG3 and SG4. Policy SG2 states at 3.29 that those settlements (Villages and Hamlets) not listed in this policy have very few services and facilities. In accordance with National and Regional Planning Policy these settlements should not accommodate new market housing on sites which have not previously been developed.</w:t>
            </w:r>
          </w:p>
          <w:p>
            <w:pPr>
              <w:pStyle w:val="Normal"/>
              <w:jc w:val="both"/>
              <w:rPr/>
            </w:pPr>
            <w:r>
              <w:rPr/>
              <w:t>A previous application in 2012 to erect a dwelling on this site was refused approval, which was confirmed at appeal. The Inspector agreed refusal on the grounds that it would not meet sustainable development objectives. The design of the property is not sympathetic to other properties in the village in terms of scale and detailing. There are no dormers in this part of the village. There are only 2 dormers of note in the village, both of which are on a pair of semi-detached bungalows providing room within the loft space.</w:t>
            </w:r>
          </w:p>
          <w:p>
            <w:pPr>
              <w:pStyle w:val="Normal"/>
              <w:jc w:val="both"/>
              <w:rPr/>
            </w:pPr>
            <w:r>
              <w:rPr/>
              <w:t xml:space="preserve">The proposed site is currently used as a beer garden by local residents and visitors in summer months and is the only area of green space in Wighill. Saved Policy CFX seeks to retain locally based community facilities to ensure people have good access to a range of services and therefore maintain viable and sustainable communities. This policy includes public houses. </w:t>
            </w:r>
            <w:r>
              <w:rPr/>
              <w:t>T</w:t>
            </w:r>
            <w:r>
              <w:rPr/>
              <w:t xml:space="preserve">he building of a large dwelling on the beer garden may have unwelcome implication on the pub. This green space is currently enjoyed by the residents of the village and other customers who frequent the public house. This point is highlighted by many local residents.  There are concerns for the long term viability of the pub being undermined by the loss of this important recreational space where in summer months people are able to sit out drinking and eating.  </w:t>
            </w:r>
          </w:p>
          <w:p>
            <w:pPr>
              <w:pStyle w:val="Normal"/>
              <w:jc w:val="both"/>
              <w:rPr/>
            </w:pPr>
            <w:r>
              <w:rPr/>
              <w:t>The Planning Statement submitted with the Application, refers to a further site in Church Lane  Wighill, where approval was granted to a previously developed site, where redundant garages were to be demolished. That case differed from the current application which is an undeveloped site, not redevelopment of a brown field site.</w:t>
              <w:br/>
            </w:r>
            <w:r>
              <w:rPr>
                <w:b/>
                <w:bCs/>
                <w:sz w:val="24"/>
                <w:szCs w:val="24"/>
              </w:rPr>
              <w:t xml:space="preserve">The Application should be refused. </w:t>
            </w:r>
          </w:p>
          <w:p>
            <w:pPr>
              <w:pStyle w:val="Normal"/>
              <w:spacing w:before="0" w:after="200"/>
              <w:jc w:val="both"/>
              <w:rPr>
                <w:rFonts w:ascii="Calibri" w:hAnsi="Calibri"/>
                <w:b/>
                <w:b/>
                <w:bCs/>
                <w:sz w:val="24"/>
                <w:szCs w:val="24"/>
              </w:rPr>
            </w:pPr>
            <w:r>
              <w:rPr>
                <w:b/>
                <w:bCs/>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rHeight w:val="698" w:hRule="atLeast"/>
        </w:trPr>
        <w:tc>
          <w:tcPr>
            <w:tcW w:w="563" w:type="dxa"/>
            <w:tcBorders/>
            <w:shd w:color="auto" w:fill="FFFFFF" w:val="clear"/>
          </w:tcPr>
          <w:p>
            <w:pPr>
              <w:pStyle w:val="Normal"/>
              <w:spacing w:lineRule="auto" w:line="240" w:before="0" w:after="0"/>
              <w:jc w:val="both"/>
              <w:rPr/>
            </w:pPr>
            <w:r>
              <w:rPr>
                <w:sz w:val="24"/>
                <w:szCs w:val="24"/>
              </w:rPr>
              <w:t>7.2</w:t>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2"/>
              </w:numPr>
              <w:spacing w:lineRule="auto" w:line="240" w:before="0" w:after="0"/>
              <w:jc w:val="both"/>
              <w:rPr/>
            </w:pPr>
            <w:r>
              <w:rPr>
                <w:b w:val="false"/>
                <w:bCs w:val="false"/>
                <w:sz w:val="24"/>
                <w:szCs w:val="24"/>
              </w:rPr>
              <w:t xml:space="preserve">Cricket Ground Wighill Park – Change of use </w:t>
            </w:r>
            <w:r>
              <w:rPr>
                <w:b/>
                <w:bCs/>
                <w:sz w:val="24"/>
                <w:szCs w:val="24"/>
              </w:rPr>
              <w:t>WITHDRAWN</w:t>
            </w:r>
          </w:p>
          <w:p>
            <w:pPr>
              <w:pStyle w:val="Normal"/>
              <w:numPr>
                <w:ilvl w:val="0"/>
                <w:numId w:val="0"/>
              </w:numPr>
              <w:spacing w:lineRule="auto" w:line="240" w:before="0" w:after="0"/>
              <w:ind w:left="720" w:hanging="0"/>
              <w:jc w:val="both"/>
              <w:rPr>
                <w:b/>
                <w:b/>
                <w:bCs/>
                <w:sz w:val="24"/>
                <w:szCs w:val="24"/>
              </w:rPr>
            </w:pPr>
            <w:r>
              <w:rPr>
                <w:b/>
                <w:bCs/>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pPr>
            <w:r>
              <w:rPr/>
              <w:t>7.3</w:t>
            </w:r>
          </w:p>
        </w:tc>
        <w:tc>
          <w:tcPr>
            <w:tcW w:w="7933" w:type="dxa"/>
            <w:tcBorders/>
            <w:shd w:color="auto" w:fill="FFFFFF" w:val="clear"/>
          </w:tcPr>
          <w:p>
            <w:pPr>
              <w:pStyle w:val="Normal"/>
              <w:spacing w:lineRule="auto" w:line="240" w:before="0" w:after="0"/>
              <w:jc w:val="left"/>
              <w:rPr/>
            </w:pPr>
            <w:r>
              <w:rPr/>
              <w:t>Planning Enforcement Issues:</w:t>
              <w:br/>
              <w:t>None received</w:t>
            </w:r>
          </w:p>
          <w:p>
            <w:pPr>
              <w:pStyle w:val="Normal"/>
              <w:numPr>
                <w:ilvl w:val="0"/>
                <w:numId w:val="0"/>
              </w:numPr>
              <w:spacing w:lineRule="auto" w:line="240" w:before="0" w:after="0"/>
              <w:ind w:left="720" w:hanging="0"/>
              <w:jc w:val="left"/>
              <w:rPr/>
            </w:pPr>
            <w:r>
              <w:rPr/>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b/>
                <w:sz w:val="24"/>
                <w:szCs w:val="24"/>
              </w:rPr>
              <w:t>8.</w:t>
            </w:r>
          </w:p>
          <w:p>
            <w:pPr>
              <w:pStyle w:val="Normal"/>
              <w:spacing w:lineRule="auto" w:line="240" w:before="0" w:after="0"/>
              <w:jc w:val="both"/>
              <w:rPr/>
            </w:pPr>
            <w:r>
              <w:rPr>
                <w:sz w:val="24"/>
                <w:szCs w:val="24"/>
              </w:rPr>
              <w:t>8.1</w:t>
            </w:r>
          </w:p>
        </w:tc>
        <w:tc>
          <w:tcPr>
            <w:tcW w:w="7933" w:type="dxa"/>
            <w:tcBorders/>
            <w:shd w:color="auto" w:fill="FFFFFF" w:val="clear"/>
          </w:tcPr>
          <w:p>
            <w:pPr>
              <w:pStyle w:val="Normal"/>
              <w:spacing w:lineRule="auto" w:line="240" w:before="0" w:after="0"/>
              <w:jc w:val="both"/>
              <w:rPr/>
            </w:pPr>
            <w:r>
              <w:rPr>
                <w:b/>
                <w:sz w:val="24"/>
                <w:szCs w:val="24"/>
                <w:u w:val="single"/>
              </w:rPr>
              <w:t>PC Administration</w:t>
            </w:r>
          </w:p>
          <w:p>
            <w:pPr>
              <w:pStyle w:val="Normal"/>
              <w:spacing w:lineRule="auto" w:line="240" w:before="0" w:after="0"/>
              <w:jc w:val="both"/>
              <w:rPr/>
            </w:pPr>
            <w:r>
              <w:rPr>
                <w:b w:val="false"/>
                <w:bCs w:val="false"/>
                <w:sz w:val="24"/>
                <w:szCs w:val="24"/>
                <w:u w:val="single"/>
              </w:rPr>
              <w:t>Maintenance of the Village Book Exchange (ex BT Kiosk)</w:t>
            </w:r>
          </w:p>
          <w:p>
            <w:pPr>
              <w:pStyle w:val="Normal"/>
              <w:spacing w:lineRule="auto" w:line="240" w:before="0" w:after="0"/>
              <w:jc w:val="both"/>
              <w:rPr/>
            </w:pPr>
            <w:r>
              <w:rPr>
                <w:sz w:val="24"/>
                <w:szCs w:val="24"/>
                <w:u w:val="none"/>
              </w:rPr>
              <w:t>A quotation has not yet been received from the decorating contractor.</w:t>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t>8.2</w:t>
            </w:r>
          </w:p>
        </w:tc>
        <w:tc>
          <w:tcPr>
            <w:tcW w:w="7933" w:type="dxa"/>
            <w:tcBorders/>
            <w:shd w:color="auto" w:fill="FFFFFF" w:val="clear"/>
          </w:tcPr>
          <w:p>
            <w:pPr>
              <w:pStyle w:val="Normal"/>
              <w:spacing w:lineRule="auto" w:line="240" w:before="0" w:after="0"/>
              <w:jc w:val="left"/>
              <w:rPr/>
            </w:pPr>
            <w:r>
              <w:rPr>
                <w:u w:val="single"/>
              </w:rPr>
              <w:t xml:space="preserve">Parish Council elections May 2018. </w:t>
            </w:r>
            <w:r>
              <w:rPr/>
              <w:br/>
              <w:t>Cllrs present confirmed that they would stand again for election and would pass completed application forms to the Clerk for transport to HBC’s Offices.</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t>8.3</w:t>
            </w:r>
          </w:p>
        </w:tc>
        <w:tc>
          <w:tcPr>
            <w:tcW w:w="7933" w:type="dxa"/>
            <w:tcBorders/>
            <w:shd w:color="auto" w:fill="FFFFFF" w:val="clear"/>
          </w:tcPr>
          <w:p>
            <w:pPr>
              <w:pStyle w:val="Normal"/>
              <w:spacing w:lineRule="auto" w:line="240" w:before="0" w:after="0"/>
              <w:jc w:val="both"/>
              <w:rPr>
                <w:u w:val="single"/>
              </w:rPr>
            </w:pPr>
            <w:r>
              <w:rPr>
                <w:u w:val="single"/>
              </w:rPr>
              <w:t>Data Protection Legislation</w:t>
            </w:r>
          </w:p>
          <w:p>
            <w:pPr>
              <w:pStyle w:val="Normal"/>
              <w:spacing w:lineRule="auto" w:line="240" w:before="0" w:after="0"/>
              <w:jc w:val="both"/>
              <w:rPr>
                <w:u w:val="single"/>
              </w:rPr>
            </w:pPr>
            <w:r>
              <w:rPr>
                <w:u w:val="none"/>
              </w:rPr>
              <w:t>The requirements of the new legislation and its implication for the Parish Council are still not understood. More research is currently being undertaken.</w:t>
            </w:r>
          </w:p>
          <w:p>
            <w:pPr>
              <w:pStyle w:val="Normal"/>
              <w:spacing w:lineRule="auto" w:line="240" w:before="0" w:after="0"/>
              <w:jc w:val="both"/>
              <w:rPr>
                <w:u w:val="none"/>
              </w:rPr>
            </w:pPr>
            <w:r>
              <w:rPr>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pPr>
            <w:r>
              <w:rPr>
                <w:sz w:val="24"/>
                <w:szCs w:val="24"/>
              </w:rPr>
              <w:t xml:space="preserve">Resiting of the waste bin to the grass verge near the notice board and possible purchase of a hardwood seat.  </w:t>
            </w:r>
          </w:p>
          <w:p>
            <w:pPr>
              <w:pStyle w:val="Normal"/>
              <w:spacing w:lineRule="auto" w:line="240" w:before="0" w:after="0"/>
              <w:jc w:val="both"/>
              <w:rPr/>
            </w:pPr>
            <w:r>
              <w:rPr>
                <w:sz w:val="24"/>
                <w:szCs w:val="24"/>
              </w:rPr>
              <w:t>The commuted sums fund at HBC has been explored for the  purchase of a hardwood seat. Some funds are available. HBC has agreed that the waste bin could be resited if a seat is purchased..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TBA</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0"/>
        <w:jc w:val="both"/>
        <w:rPr>
          <w:rStyle w:val="InternetLink"/>
          <w:sz w:val="24"/>
          <w:szCs w:val="24"/>
        </w:rPr>
      </w:pPr>
      <w:r>
        <w:rPr>
          <w:sz w:val="24"/>
          <w:szCs w:val="24"/>
        </w:rPr>
      </w:r>
    </w:p>
    <w:p>
      <w:pPr>
        <w:pStyle w:val="Normal"/>
        <w:spacing w:before="0" w:after="200"/>
        <w:jc w:val="both"/>
        <w:rPr/>
      </w:pPr>
      <w:r>
        <w:rPr>
          <w:b/>
          <w:sz w:val="28"/>
          <w:szCs w:val="28"/>
        </w:rPr>
        <w:t xml:space="preserve">Parish Website: </w:t>
      </w:r>
      <w:hyperlink r:id="rId2">
        <w:r>
          <w:rPr>
            <w:rStyle w:val="InternetLink"/>
            <w:b/>
            <w:sz w:val="28"/>
            <w:szCs w:val="28"/>
          </w:rPr>
          <w:t>www.wighill-pc.org.uk</w:t>
        </w:r>
      </w:hyperlink>
      <w:r>
        <w:rPr>
          <w:b/>
          <w:sz w:val="28"/>
          <w:szCs w:val="28"/>
        </w:rPr>
        <w:t xml:space="preserve"> </w:t>
      </w:r>
    </w:p>
    <w:sectPr>
      <w:headerReference w:type="default" r:id="rId3"/>
      <w:footerReference w:type="default" r:id="rId4"/>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 </w:t>
    </w: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Jim Hyde Tel: 07711734487 Email: </w:t>
    </w:r>
    <w:hyperlink r:id="rId2">
      <w:r>
        <w:rPr>
          <w:rStyle w:val="InternetLink"/>
        </w:rPr>
        <w:t>jim.hyde@proximity.co.uk</w:t>
      </w:r>
    </w:hyperlink>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character" w:styleId="ListLabel631">
    <w:name w:val="ListLabel 631"/>
    <w:qFormat/>
    <w:rPr>
      <w:rFonts w:cs="OpenSymbol"/>
      <w:sz w:val="24"/>
    </w:rPr>
  </w:style>
  <w:style w:type="character" w:styleId="ListLabel632">
    <w:name w:val="ListLabel 632"/>
    <w:qFormat/>
    <w:rPr>
      <w:rFonts w:cs="OpenSymbol"/>
    </w:rPr>
  </w:style>
  <w:style w:type="character" w:styleId="ListLabel633">
    <w:name w:val="ListLabel 633"/>
    <w:qFormat/>
    <w:rPr>
      <w:rFonts w:cs="OpenSymbol"/>
    </w:rPr>
  </w:style>
  <w:style w:type="character" w:styleId="ListLabel634">
    <w:name w:val="ListLabel 634"/>
    <w:qFormat/>
    <w:rPr>
      <w:rFonts w:cs="OpenSymbol"/>
    </w:rPr>
  </w:style>
  <w:style w:type="character" w:styleId="ListLabel635">
    <w:name w:val="ListLabel 635"/>
    <w:qFormat/>
    <w:rPr>
      <w:rFonts w:cs="OpenSymbol"/>
    </w:rPr>
  </w:style>
  <w:style w:type="character" w:styleId="ListLabel636">
    <w:name w:val="ListLabel 636"/>
    <w:qFormat/>
    <w:rPr>
      <w:rFonts w:cs="OpenSymbol"/>
    </w:rPr>
  </w:style>
  <w:style w:type="character" w:styleId="ListLabel637">
    <w:name w:val="ListLabel 637"/>
    <w:qFormat/>
    <w:rPr>
      <w:rFonts w:cs="OpenSymbol"/>
    </w:rPr>
  </w:style>
  <w:style w:type="character" w:styleId="ListLabel638">
    <w:name w:val="ListLabel 638"/>
    <w:qFormat/>
    <w:rPr>
      <w:rFonts w:cs="OpenSymbol"/>
    </w:rPr>
  </w:style>
  <w:style w:type="character" w:styleId="ListLabel639">
    <w:name w:val="ListLabel 639"/>
    <w:qFormat/>
    <w:rPr>
      <w:rFonts w:cs="OpenSymbol"/>
    </w:rPr>
  </w:style>
  <w:style w:type="character" w:styleId="ListLabel640">
    <w:name w:val="ListLabel 640"/>
    <w:qFormat/>
    <w:rPr>
      <w:rFonts w:cs="OpenSymbol"/>
      <w:sz w:val="24"/>
    </w:rPr>
  </w:style>
  <w:style w:type="character" w:styleId="ListLabel641">
    <w:name w:val="ListLabel 641"/>
    <w:qFormat/>
    <w:rPr>
      <w:rFonts w:cs="OpenSymbol"/>
    </w:rPr>
  </w:style>
  <w:style w:type="character" w:styleId="ListLabel642">
    <w:name w:val="ListLabel 642"/>
    <w:qFormat/>
    <w:rPr>
      <w:rFonts w:cs="OpenSymbol"/>
    </w:rPr>
  </w:style>
  <w:style w:type="character" w:styleId="ListLabel643">
    <w:name w:val="ListLabel 643"/>
    <w:qFormat/>
    <w:rPr>
      <w:rFonts w:cs="OpenSymbol"/>
    </w:rPr>
  </w:style>
  <w:style w:type="character" w:styleId="ListLabel644">
    <w:name w:val="ListLabel 644"/>
    <w:qFormat/>
    <w:rPr>
      <w:rFonts w:cs="OpenSymbol"/>
    </w:rPr>
  </w:style>
  <w:style w:type="character" w:styleId="ListLabel645">
    <w:name w:val="ListLabel 645"/>
    <w:qFormat/>
    <w:rPr>
      <w:rFonts w:cs="OpenSymbol"/>
    </w:rPr>
  </w:style>
  <w:style w:type="character" w:styleId="ListLabel646">
    <w:name w:val="ListLabel 646"/>
    <w:qFormat/>
    <w:rPr>
      <w:rFonts w:cs="OpenSymbol"/>
    </w:rPr>
  </w:style>
  <w:style w:type="character" w:styleId="ListLabel647">
    <w:name w:val="ListLabel 647"/>
    <w:qFormat/>
    <w:rPr>
      <w:rFonts w:cs="OpenSymbol"/>
    </w:rPr>
  </w:style>
  <w:style w:type="character" w:styleId="ListLabel648">
    <w:name w:val="ListLabel 648"/>
    <w:qFormat/>
    <w:rPr>
      <w:rFonts w:cs="OpenSymbol"/>
    </w:rPr>
  </w:style>
  <w:style w:type="character" w:styleId="ListLabel649">
    <w:name w:val="ListLabel 649"/>
    <w:qFormat/>
    <w:rPr>
      <w:rFonts w:cs="OpenSymbol"/>
    </w:rPr>
  </w:style>
  <w:style w:type="character" w:styleId="ListLabel650">
    <w:name w:val="ListLabel 650"/>
    <w:qFormat/>
    <w:rPr>
      <w:rFonts w:cs="OpenSymbol"/>
    </w:rPr>
  </w:style>
  <w:style w:type="character" w:styleId="ListLabel651">
    <w:name w:val="ListLabel 651"/>
    <w:qFormat/>
    <w:rPr>
      <w:rFonts w:cs="OpenSymbol"/>
    </w:rPr>
  </w:style>
  <w:style w:type="character" w:styleId="ListLabel652">
    <w:name w:val="ListLabel 652"/>
    <w:qFormat/>
    <w:rPr>
      <w:rFonts w:cs="OpenSymbol"/>
    </w:rPr>
  </w:style>
  <w:style w:type="character" w:styleId="ListLabel653">
    <w:name w:val="ListLabel 653"/>
    <w:qFormat/>
    <w:rPr>
      <w:rFonts w:cs="OpenSymbol"/>
    </w:rPr>
  </w:style>
  <w:style w:type="character" w:styleId="ListLabel654">
    <w:name w:val="ListLabel 654"/>
    <w:qFormat/>
    <w:rPr>
      <w:rFonts w:cs="OpenSymbol"/>
    </w:rPr>
  </w:style>
  <w:style w:type="character" w:styleId="ListLabel655">
    <w:name w:val="ListLabel 655"/>
    <w:qFormat/>
    <w:rPr>
      <w:rFonts w:cs="OpenSymbol"/>
    </w:rPr>
  </w:style>
  <w:style w:type="character" w:styleId="ListLabel656">
    <w:name w:val="ListLabel 656"/>
    <w:qFormat/>
    <w:rPr>
      <w:rFonts w:cs="OpenSymbol"/>
    </w:rPr>
  </w:style>
  <w:style w:type="character" w:styleId="ListLabel657">
    <w:name w:val="ListLabel 657"/>
    <w:qFormat/>
    <w:rPr>
      <w:rFonts w:cs="OpenSymbol"/>
    </w:rPr>
  </w:style>
  <w:style w:type="character" w:styleId="ListLabel658">
    <w:name w:val="ListLabel 658"/>
    <w:qFormat/>
    <w:rPr>
      <w:rFonts w:cs="OpenSymbol"/>
    </w:rPr>
  </w:style>
  <w:style w:type="character" w:styleId="ListLabel659">
    <w:name w:val="ListLabel 659"/>
    <w:qFormat/>
    <w:rPr>
      <w:rFonts w:cs="OpenSymbol"/>
    </w:rPr>
  </w:style>
  <w:style w:type="character" w:styleId="ListLabel660">
    <w:name w:val="ListLabel 660"/>
    <w:qFormat/>
    <w:rPr>
      <w:rFonts w:cs="OpenSymbol"/>
    </w:rPr>
  </w:style>
  <w:style w:type="character" w:styleId="ListLabel661">
    <w:name w:val="ListLabel 661"/>
    <w:qFormat/>
    <w:rPr>
      <w:rFonts w:cs="OpenSymbol"/>
    </w:rPr>
  </w:style>
  <w:style w:type="character" w:styleId="ListLabel662">
    <w:name w:val="ListLabel 662"/>
    <w:qFormat/>
    <w:rPr>
      <w:rFonts w:cs="OpenSymbol"/>
    </w:rPr>
  </w:style>
  <w:style w:type="character" w:styleId="ListLabel663">
    <w:name w:val="ListLabel 663"/>
    <w:qFormat/>
    <w:rPr>
      <w:rFonts w:cs="OpenSymbol"/>
    </w:rPr>
  </w:style>
  <w:style w:type="character" w:styleId="ListLabel664">
    <w:name w:val="ListLabel 664"/>
    <w:qFormat/>
    <w:rPr>
      <w:rFonts w:cs="OpenSymbol"/>
    </w:rPr>
  </w:style>
  <w:style w:type="character" w:styleId="ListLabel665">
    <w:name w:val="ListLabel 665"/>
    <w:qFormat/>
    <w:rPr>
      <w:rFonts w:cs="OpenSymbol"/>
    </w:rPr>
  </w:style>
  <w:style w:type="character" w:styleId="ListLabel666">
    <w:name w:val="ListLabel 666"/>
    <w:qFormat/>
    <w:rPr>
      <w:rFonts w:cs="OpenSymbol"/>
    </w:rPr>
  </w:style>
  <w:style w:type="character" w:styleId="ListLabel667">
    <w:name w:val="ListLabel 667"/>
    <w:qFormat/>
    <w:rPr>
      <w:rFonts w:cs="OpenSymbol"/>
    </w:rPr>
  </w:style>
  <w:style w:type="character" w:styleId="ListLabel668">
    <w:name w:val="ListLabel 668"/>
    <w:qFormat/>
    <w:rPr>
      <w:rFonts w:cs="OpenSymbol"/>
    </w:rPr>
  </w:style>
  <w:style w:type="character" w:styleId="ListLabel669">
    <w:name w:val="ListLabel 669"/>
    <w:qFormat/>
    <w:rPr>
      <w:rFonts w:cs="OpenSymbol"/>
    </w:rPr>
  </w:style>
  <w:style w:type="character" w:styleId="ListLabel670">
    <w:name w:val="ListLabel 670"/>
    <w:qFormat/>
    <w:rPr>
      <w:rFonts w:cs="OpenSymbol"/>
    </w:rPr>
  </w:style>
  <w:style w:type="character" w:styleId="ListLabel671">
    <w:name w:val="ListLabel 671"/>
    <w:qFormat/>
    <w:rPr>
      <w:rFonts w:cs="OpenSymbol"/>
    </w:rPr>
  </w:style>
  <w:style w:type="character" w:styleId="ListLabel672">
    <w:name w:val="ListLabel 672"/>
    <w:qFormat/>
    <w:rPr>
      <w:rFonts w:cs="OpenSymbol"/>
    </w:rPr>
  </w:style>
  <w:style w:type="character" w:styleId="ListLabel673">
    <w:name w:val="ListLabel 673"/>
    <w:qFormat/>
    <w:rPr>
      <w:rFonts w:cs="OpenSymbol"/>
    </w:rPr>
  </w:style>
  <w:style w:type="character" w:styleId="ListLabel674">
    <w:name w:val="ListLabel 674"/>
    <w:qFormat/>
    <w:rPr>
      <w:rFonts w:cs="OpenSymbol"/>
    </w:rPr>
  </w:style>
  <w:style w:type="character" w:styleId="ListLabel675">
    <w:name w:val="ListLabel 675"/>
    <w:qFormat/>
    <w:rPr>
      <w:rFonts w:cs="OpenSymbol"/>
    </w:rPr>
  </w:style>
  <w:style w:type="character" w:styleId="ListLabel676">
    <w:name w:val="ListLabel 676"/>
    <w:qFormat/>
    <w:rPr>
      <w:b/>
      <w:sz w:val="28"/>
      <w:szCs w:val="28"/>
    </w:rPr>
  </w:style>
  <w:style w:type="character" w:styleId="ListLabel677">
    <w:name w:val="ListLabel 677"/>
    <w:qFormat/>
    <w:rPr/>
  </w:style>
  <w:style w:type="character" w:styleId="NumberingSymbols">
    <w:name w:val="Numbering Symbols"/>
    <w:qFormat/>
    <w:rPr/>
  </w:style>
  <w:style w:type="character" w:styleId="ListLabel678">
    <w:name w:val="ListLabel 678"/>
    <w:qFormat/>
    <w:rPr>
      <w:rFonts w:cs="OpenSymbol"/>
      <w:sz w:val="24"/>
    </w:rPr>
  </w:style>
  <w:style w:type="character" w:styleId="ListLabel679">
    <w:name w:val="ListLabel 679"/>
    <w:qFormat/>
    <w:rPr>
      <w:rFonts w:cs="OpenSymbol"/>
    </w:rPr>
  </w:style>
  <w:style w:type="character" w:styleId="ListLabel680">
    <w:name w:val="ListLabel 680"/>
    <w:qFormat/>
    <w:rPr>
      <w:rFonts w:cs="OpenSymbol"/>
    </w:rPr>
  </w:style>
  <w:style w:type="character" w:styleId="ListLabel681">
    <w:name w:val="ListLabel 681"/>
    <w:qFormat/>
    <w:rPr>
      <w:rFonts w:cs="OpenSymbol"/>
    </w:rPr>
  </w:style>
  <w:style w:type="character" w:styleId="ListLabel682">
    <w:name w:val="ListLabel 682"/>
    <w:qFormat/>
    <w:rPr>
      <w:rFonts w:cs="OpenSymbol"/>
    </w:rPr>
  </w:style>
  <w:style w:type="character" w:styleId="ListLabel683">
    <w:name w:val="ListLabel 683"/>
    <w:qFormat/>
    <w:rPr>
      <w:rFonts w:cs="OpenSymbol"/>
    </w:rPr>
  </w:style>
  <w:style w:type="character" w:styleId="ListLabel684">
    <w:name w:val="ListLabel 684"/>
    <w:qFormat/>
    <w:rPr>
      <w:rFonts w:cs="OpenSymbol"/>
    </w:rPr>
  </w:style>
  <w:style w:type="character" w:styleId="ListLabel685">
    <w:name w:val="ListLabel 685"/>
    <w:qFormat/>
    <w:rPr>
      <w:rFonts w:cs="OpenSymbol"/>
    </w:rPr>
  </w:style>
  <w:style w:type="character" w:styleId="ListLabel686">
    <w:name w:val="ListLabel 686"/>
    <w:qFormat/>
    <w:rPr>
      <w:rFonts w:cs="OpenSymbol"/>
    </w:rPr>
  </w:style>
  <w:style w:type="character" w:styleId="ListLabel687">
    <w:name w:val="ListLabel 687"/>
    <w:qFormat/>
    <w:rPr>
      <w:rFonts w:cs="OpenSymbol"/>
      <w:sz w:val="24"/>
    </w:rPr>
  </w:style>
  <w:style w:type="character" w:styleId="ListLabel688">
    <w:name w:val="ListLabel 688"/>
    <w:qFormat/>
    <w:rPr>
      <w:rFonts w:cs="OpenSymbol"/>
    </w:rPr>
  </w:style>
  <w:style w:type="character" w:styleId="ListLabel689">
    <w:name w:val="ListLabel 689"/>
    <w:qFormat/>
    <w:rPr>
      <w:rFonts w:cs="OpenSymbol"/>
    </w:rPr>
  </w:style>
  <w:style w:type="character" w:styleId="ListLabel690">
    <w:name w:val="ListLabel 690"/>
    <w:qFormat/>
    <w:rPr>
      <w:rFonts w:cs="OpenSymbol"/>
    </w:rPr>
  </w:style>
  <w:style w:type="character" w:styleId="ListLabel691">
    <w:name w:val="ListLabel 691"/>
    <w:qFormat/>
    <w:rPr>
      <w:rFonts w:cs="OpenSymbol"/>
    </w:rPr>
  </w:style>
  <w:style w:type="character" w:styleId="ListLabel692">
    <w:name w:val="ListLabel 692"/>
    <w:qFormat/>
    <w:rPr>
      <w:rFonts w:cs="OpenSymbol"/>
    </w:rPr>
  </w:style>
  <w:style w:type="character" w:styleId="ListLabel693">
    <w:name w:val="ListLabel 693"/>
    <w:qFormat/>
    <w:rPr>
      <w:rFonts w:cs="OpenSymbol"/>
    </w:rPr>
  </w:style>
  <w:style w:type="character" w:styleId="ListLabel694">
    <w:name w:val="ListLabel 694"/>
    <w:qFormat/>
    <w:rPr>
      <w:rFonts w:cs="OpenSymbol"/>
    </w:rPr>
  </w:style>
  <w:style w:type="character" w:styleId="ListLabel695">
    <w:name w:val="ListLabel 695"/>
    <w:qFormat/>
    <w:rPr>
      <w:rFonts w:cs="OpenSymbol"/>
    </w:rPr>
  </w:style>
  <w:style w:type="character" w:styleId="ListLabel696">
    <w:name w:val="ListLabel 696"/>
    <w:qFormat/>
    <w:rPr>
      <w:rFonts w:cs="OpenSymbol"/>
    </w:rPr>
  </w:style>
  <w:style w:type="character" w:styleId="ListLabel697">
    <w:name w:val="ListLabel 697"/>
    <w:qFormat/>
    <w:rPr>
      <w:rFonts w:cs="OpenSymbol"/>
    </w:rPr>
  </w:style>
  <w:style w:type="character" w:styleId="ListLabel698">
    <w:name w:val="ListLabel 698"/>
    <w:qFormat/>
    <w:rPr>
      <w:rFonts w:cs="OpenSymbol"/>
    </w:rPr>
  </w:style>
  <w:style w:type="character" w:styleId="ListLabel699">
    <w:name w:val="ListLabel 699"/>
    <w:qFormat/>
    <w:rPr>
      <w:rFonts w:cs="OpenSymbol"/>
    </w:rPr>
  </w:style>
  <w:style w:type="character" w:styleId="ListLabel700">
    <w:name w:val="ListLabel 700"/>
    <w:qFormat/>
    <w:rPr>
      <w:rFonts w:cs="OpenSymbol"/>
    </w:rPr>
  </w:style>
  <w:style w:type="character" w:styleId="ListLabel701">
    <w:name w:val="ListLabel 701"/>
    <w:qFormat/>
    <w:rPr>
      <w:rFonts w:cs="OpenSymbol"/>
    </w:rPr>
  </w:style>
  <w:style w:type="character" w:styleId="ListLabel702">
    <w:name w:val="ListLabel 702"/>
    <w:qFormat/>
    <w:rPr>
      <w:rFonts w:cs="OpenSymbol"/>
    </w:rPr>
  </w:style>
  <w:style w:type="character" w:styleId="ListLabel703">
    <w:name w:val="ListLabel 703"/>
    <w:qFormat/>
    <w:rPr>
      <w:rFonts w:cs="OpenSymbol"/>
    </w:rPr>
  </w:style>
  <w:style w:type="character" w:styleId="ListLabel704">
    <w:name w:val="ListLabel 704"/>
    <w:qFormat/>
    <w:rPr>
      <w:rFonts w:cs="OpenSymbol"/>
    </w:rPr>
  </w:style>
  <w:style w:type="character" w:styleId="ListLabel705">
    <w:name w:val="ListLabel 705"/>
    <w:qFormat/>
    <w:rPr>
      <w:rFonts w:cs="OpenSymbol"/>
    </w:rPr>
  </w:style>
  <w:style w:type="character" w:styleId="ListLabel706">
    <w:name w:val="ListLabel 706"/>
    <w:qFormat/>
    <w:rPr>
      <w:rFonts w:cs="OpenSymbol"/>
    </w:rPr>
  </w:style>
  <w:style w:type="character" w:styleId="ListLabel707">
    <w:name w:val="ListLabel 707"/>
    <w:qFormat/>
    <w:rPr>
      <w:rFonts w:cs="OpenSymbol"/>
    </w:rPr>
  </w:style>
  <w:style w:type="character" w:styleId="ListLabel708">
    <w:name w:val="ListLabel 708"/>
    <w:qFormat/>
    <w:rPr>
      <w:rFonts w:cs="OpenSymbol"/>
    </w:rPr>
  </w:style>
  <w:style w:type="character" w:styleId="ListLabel709">
    <w:name w:val="ListLabel 709"/>
    <w:qFormat/>
    <w:rPr>
      <w:rFonts w:cs="OpenSymbol"/>
    </w:rPr>
  </w:style>
  <w:style w:type="character" w:styleId="ListLabel710">
    <w:name w:val="ListLabel 710"/>
    <w:qFormat/>
    <w:rPr>
      <w:rFonts w:cs="OpenSymbol"/>
    </w:rPr>
  </w:style>
  <w:style w:type="character" w:styleId="ListLabel711">
    <w:name w:val="ListLabel 711"/>
    <w:qFormat/>
    <w:rPr>
      <w:rFonts w:cs="OpenSymbol"/>
    </w:rPr>
  </w:style>
  <w:style w:type="character" w:styleId="ListLabel712">
    <w:name w:val="ListLabel 712"/>
    <w:qFormat/>
    <w:rPr>
      <w:rFonts w:cs="OpenSymbol"/>
    </w:rPr>
  </w:style>
  <w:style w:type="character" w:styleId="ListLabel713">
    <w:name w:val="ListLabel 713"/>
    <w:qFormat/>
    <w:rPr>
      <w:rFonts w:cs="OpenSymbol"/>
    </w:rPr>
  </w:style>
  <w:style w:type="character" w:styleId="ListLabel714">
    <w:name w:val="ListLabel 714"/>
    <w:qFormat/>
    <w:rPr>
      <w:rFonts w:cs="OpenSymbol"/>
    </w:rPr>
  </w:style>
  <w:style w:type="character" w:styleId="ListLabel715">
    <w:name w:val="ListLabel 715"/>
    <w:qFormat/>
    <w:rPr>
      <w:rFonts w:cs="OpenSymbol"/>
    </w:rPr>
  </w:style>
  <w:style w:type="character" w:styleId="ListLabel716">
    <w:name w:val="ListLabel 716"/>
    <w:qFormat/>
    <w:rPr>
      <w:rFonts w:cs="OpenSymbol"/>
    </w:rPr>
  </w:style>
  <w:style w:type="character" w:styleId="ListLabel717">
    <w:name w:val="ListLabel 717"/>
    <w:qFormat/>
    <w:rPr>
      <w:rFonts w:cs="OpenSymbol"/>
    </w:rPr>
  </w:style>
  <w:style w:type="character" w:styleId="ListLabel718">
    <w:name w:val="ListLabel 718"/>
    <w:qFormat/>
    <w:rPr>
      <w:rFonts w:cs="OpenSymbol"/>
    </w:rPr>
  </w:style>
  <w:style w:type="character" w:styleId="ListLabel719">
    <w:name w:val="ListLabel 719"/>
    <w:qFormat/>
    <w:rPr>
      <w:rFonts w:cs="OpenSymbol"/>
    </w:rPr>
  </w:style>
  <w:style w:type="character" w:styleId="ListLabel720">
    <w:name w:val="ListLabel 720"/>
    <w:qFormat/>
    <w:rPr>
      <w:rFonts w:cs="OpenSymbol"/>
    </w:rPr>
  </w:style>
  <w:style w:type="character" w:styleId="ListLabel721">
    <w:name w:val="ListLabel 721"/>
    <w:qFormat/>
    <w:rPr>
      <w:rFonts w:cs="OpenSymbol"/>
    </w:rPr>
  </w:style>
  <w:style w:type="character" w:styleId="ListLabel722">
    <w:name w:val="ListLabel 722"/>
    <w:qFormat/>
    <w:rPr>
      <w:rFonts w:cs="OpenSymbol"/>
    </w:rPr>
  </w:style>
  <w:style w:type="character" w:styleId="ListLabel723">
    <w:name w:val="ListLabel 723"/>
    <w:qFormat/>
    <w:rPr>
      <w:rFonts w:cs="OpenSymbol"/>
    </w:rPr>
  </w:style>
  <w:style w:type="character" w:styleId="ListLabel724">
    <w:name w:val="ListLabel 724"/>
    <w:qFormat/>
    <w:rPr>
      <w:rFonts w:cs="OpenSymbol"/>
    </w:rPr>
  </w:style>
  <w:style w:type="character" w:styleId="ListLabel725">
    <w:name w:val="ListLabel 725"/>
    <w:qFormat/>
    <w:rPr>
      <w:rFonts w:cs="OpenSymbol"/>
    </w:rPr>
  </w:style>
  <w:style w:type="character" w:styleId="ListLabel726">
    <w:name w:val="ListLabel 726"/>
    <w:qFormat/>
    <w:rPr>
      <w:rFonts w:cs="OpenSymbol"/>
    </w:rPr>
  </w:style>
  <w:style w:type="character" w:styleId="ListLabel727">
    <w:name w:val="ListLabel 727"/>
    <w:qFormat/>
    <w:rPr>
      <w:rFonts w:cs="OpenSymbol"/>
    </w:rPr>
  </w:style>
  <w:style w:type="character" w:styleId="ListLabel728">
    <w:name w:val="ListLabel 728"/>
    <w:qFormat/>
    <w:rPr>
      <w:rFonts w:cs="OpenSymbol"/>
    </w:rPr>
  </w:style>
  <w:style w:type="character" w:styleId="ListLabel729">
    <w:name w:val="ListLabel 729"/>
    <w:qFormat/>
    <w:rPr>
      <w:rFonts w:cs="OpenSymbol"/>
    </w:rPr>
  </w:style>
  <w:style w:type="character" w:styleId="ListLabel730">
    <w:name w:val="ListLabel 730"/>
    <w:qFormat/>
    <w:rPr>
      <w:rFonts w:cs="OpenSymbol"/>
    </w:rPr>
  </w:style>
  <w:style w:type="character" w:styleId="ListLabel731">
    <w:name w:val="ListLabel 731"/>
    <w:qFormat/>
    <w:rPr>
      <w:rFonts w:cs="OpenSymbol"/>
    </w:rPr>
  </w:style>
  <w:style w:type="character" w:styleId="ListLabel732">
    <w:name w:val="ListLabel 732"/>
    <w:qFormat/>
    <w:rPr/>
  </w:style>
  <w:style w:type="character" w:styleId="ListLabel733">
    <w:name w:val="ListLabel 733"/>
    <w:qFormat/>
    <w:rPr>
      <w:b/>
      <w:sz w:val="28"/>
      <w:szCs w:val="28"/>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ighill-pc.org.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Application>LibreOffice/6.0.2.1$Windows_X86_64 LibreOffice_project/f7f06a8f319e4b62f9bc5095aa112a65d2f3ac89</Application>
  <Pages>3</Pages>
  <Words>1004</Words>
  <Characters>5111</Characters>
  <CharactersWithSpaces>6234</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2018-03-06T14:55:00Z</cp:lastPrinted>
  <dcterms:modified xsi:type="dcterms:W3CDTF">2018-03-07T08:02:33Z</dcterms:modified>
  <cp:revision>55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