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609048" w14:textId="77777777" w:rsidR="00B32346" w:rsidRPr="003628DE" w:rsidRDefault="00B32346" w:rsidP="00B32346">
      <w:pPr>
        <w:spacing w:after="0" w:line="240" w:lineRule="auto"/>
        <w:rPr>
          <w:b/>
          <w:bCs/>
          <w:sz w:val="28"/>
          <w:szCs w:val="28"/>
        </w:rPr>
      </w:pPr>
      <w:r w:rsidRPr="003628DE">
        <w:rPr>
          <w:b/>
          <w:bCs/>
          <w:sz w:val="28"/>
          <w:szCs w:val="28"/>
        </w:rPr>
        <w:t>File note for agenda item 26/50</w:t>
      </w:r>
    </w:p>
    <w:p w14:paraId="372ADD7C" w14:textId="77777777" w:rsidR="00B32346" w:rsidRPr="003628DE" w:rsidRDefault="00B32346" w:rsidP="00B32346">
      <w:pPr>
        <w:spacing w:after="0" w:line="240" w:lineRule="auto"/>
        <w:rPr>
          <w:b/>
          <w:bCs/>
          <w:sz w:val="28"/>
          <w:szCs w:val="28"/>
        </w:rPr>
      </w:pPr>
    </w:p>
    <w:p w14:paraId="5C53B3DD" w14:textId="77777777" w:rsidR="00B32346" w:rsidRPr="003628DE" w:rsidRDefault="00B32346" w:rsidP="00B32346">
      <w:pPr>
        <w:spacing w:after="0" w:line="240" w:lineRule="auto"/>
        <w:rPr>
          <w:b/>
          <w:bCs/>
          <w:sz w:val="28"/>
          <w:szCs w:val="28"/>
        </w:rPr>
      </w:pPr>
      <w:r w:rsidRPr="003628DE">
        <w:rPr>
          <w:b/>
          <w:bCs/>
          <w:sz w:val="28"/>
          <w:szCs w:val="28"/>
        </w:rPr>
        <w:t>General Power of Competence – Summary for Councillors</w:t>
      </w:r>
    </w:p>
    <w:p w14:paraId="796AC960" w14:textId="77777777" w:rsidR="00B32346" w:rsidRPr="00B32346" w:rsidRDefault="00B32346" w:rsidP="00B32346">
      <w:pPr>
        <w:spacing w:after="0" w:line="240" w:lineRule="auto"/>
        <w:rPr>
          <w:b/>
          <w:bCs/>
        </w:rPr>
      </w:pPr>
    </w:p>
    <w:p w14:paraId="533D8483" w14:textId="08719505" w:rsidR="00466487" w:rsidRPr="00466487" w:rsidRDefault="00466487" w:rsidP="00466487">
      <w:pPr>
        <w:rPr>
          <w:rFonts w:cs="Calibri"/>
          <w:sz w:val="24"/>
          <w:szCs w:val="24"/>
        </w:rPr>
      </w:pPr>
      <w:r>
        <w:rPr>
          <w:rFonts w:cs="Calibri"/>
          <w:sz w:val="24"/>
          <w:szCs w:val="24"/>
        </w:rPr>
        <w:t>The</w:t>
      </w:r>
      <w:r w:rsidRPr="00466487">
        <w:rPr>
          <w:rFonts w:cs="Calibri"/>
          <w:sz w:val="24"/>
          <w:szCs w:val="24"/>
        </w:rPr>
        <w:t xml:space="preserve"> Localism Act 2011, Chapter 1 of Part 1, Sections 1-8, </w:t>
      </w:r>
      <w:r>
        <w:rPr>
          <w:rFonts w:cs="Calibri"/>
          <w:sz w:val="24"/>
          <w:szCs w:val="24"/>
        </w:rPr>
        <w:t xml:space="preserve">gives </w:t>
      </w:r>
      <w:r w:rsidRPr="00466487">
        <w:rPr>
          <w:rFonts w:cs="Calibri"/>
          <w:sz w:val="24"/>
          <w:szCs w:val="24"/>
        </w:rPr>
        <w:t>local councils in England a General Power of Competence</w:t>
      </w:r>
      <w:r>
        <w:rPr>
          <w:rFonts w:cs="Calibri"/>
          <w:sz w:val="24"/>
          <w:szCs w:val="24"/>
        </w:rPr>
        <w:t xml:space="preserve"> (GPC)</w:t>
      </w:r>
      <w:r w:rsidR="00BA4971">
        <w:rPr>
          <w:rFonts w:cs="Calibri"/>
          <w:sz w:val="24"/>
          <w:szCs w:val="24"/>
        </w:rPr>
        <w:t>. This is</w:t>
      </w:r>
      <w:r w:rsidRPr="00466487">
        <w:rPr>
          <w:rFonts w:cs="Calibri"/>
          <w:sz w:val="24"/>
          <w:szCs w:val="24"/>
        </w:rPr>
        <w:t xml:space="preserve"> intended to give local authorities (including parish and town councils) wider powers and a greater freedom to act to deliver more for their communities. </w:t>
      </w:r>
    </w:p>
    <w:p w14:paraId="7A117DE3" w14:textId="77777777" w:rsidR="00466487" w:rsidRPr="00466487" w:rsidRDefault="00466487" w:rsidP="00BA4971">
      <w:pPr>
        <w:rPr>
          <w:rFonts w:cs="Calibri"/>
          <w:sz w:val="24"/>
          <w:szCs w:val="24"/>
        </w:rPr>
      </w:pPr>
      <w:r w:rsidRPr="00466487">
        <w:rPr>
          <w:rFonts w:cs="Calibri"/>
          <w:sz w:val="24"/>
          <w:szCs w:val="24"/>
        </w:rPr>
        <w:t>The General Power of Competence was brought into force by SI 961, The Localism Act 2011 (Consequential Amendments) Order 2012 on 28 March 2012.</w:t>
      </w:r>
    </w:p>
    <w:p w14:paraId="0C1767AD" w14:textId="77777777" w:rsidR="00466487" w:rsidRPr="00466487" w:rsidRDefault="00466487" w:rsidP="00BA4971">
      <w:pPr>
        <w:rPr>
          <w:rFonts w:cs="Calibri"/>
          <w:sz w:val="24"/>
          <w:szCs w:val="24"/>
        </w:rPr>
      </w:pPr>
      <w:r w:rsidRPr="00466487">
        <w:rPr>
          <w:rFonts w:cs="Calibri"/>
          <w:b/>
          <w:bCs/>
          <w:sz w:val="24"/>
          <w:szCs w:val="24"/>
        </w:rPr>
        <w:t>What Does The Power Allow Councils To Do?</w:t>
      </w:r>
    </w:p>
    <w:p w14:paraId="78F11536" w14:textId="77777777" w:rsidR="00466487" w:rsidRPr="00466487" w:rsidRDefault="00466487" w:rsidP="00BA4971">
      <w:pPr>
        <w:rPr>
          <w:rFonts w:cs="Calibri"/>
          <w:sz w:val="24"/>
          <w:szCs w:val="24"/>
        </w:rPr>
      </w:pPr>
      <w:r w:rsidRPr="00466487">
        <w:rPr>
          <w:rFonts w:cs="Calibri"/>
          <w:sz w:val="24"/>
          <w:szCs w:val="24"/>
        </w:rPr>
        <w:t>The Power is a central part of the Government’s move towards the de-centralisation of powers down to the lowest practical level of local government.</w:t>
      </w:r>
    </w:p>
    <w:p w14:paraId="53C7AFC1" w14:textId="77777777" w:rsidR="00466487" w:rsidRPr="00466487" w:rsidRDefault="00466487" w:rsidP="00456698">
      <w:pPr>
        <w:rPr>
          <w:rFonts w:cs="Calibri"/>
          <w:sz w:val="24"/>
          <w:szCs w:val="24"/>
        </w:rPr>
      </w:pPr>
      <w:r w:rsidRPr="00466487">
        <w:rPr>
          <w:rFonts w:cs="Calibri"/>
          <w:sz w:val="24"/>
          <w:szCs w:val="24"/>
        </w:rPr>
        <w:t>The Explanatory Memorandum to The Parish Councils (General Power of Competence) (Prescribed Conditions) Order 2012 No 965 says that </w:t>
      </w:r>
      <w:r w:rsidRPr="00466487">
        <w:rPr>
          <w:rFonts w:cs="Calibri"/>
          <w:i/>
          <w:iCs/>
          <w:sz w:val="24"/>
          <w:szCs w:val="24"/>
        </w:rPr>
        <w:t>‘The Government’s intention in providing eligible parish councils with the General Power of Competence is to better enable them to take on their enhanced role and allow them to do the things they have previously been unable to do under their existing Powers.’</w:t>
      </w:r>
    </w:p>
    <w:p w14:paraId="2EAE51C3" w14:textId="77777777" w:rsidR="00466487" w:rsidRPr="00466487" w:rsidRDefault="00466487" w:rsidP="00456698">
      <w:pPr>
        <w:rPr>
          <w:rFonts w:cs="Calibri"/>
          <w:sz w:val="24"/>
          <w:szCs w:val="24"/>
        </w:rPr>
      </w:pPr>
      <w:r w:rsidRPr="00466487">
        <w:rPr>
          <w:rFonts w:cs="Calibri"/>
          <w:sz w:val="24"/>
          <w:szCs w:val="24"/>
        </w:rPr>
        <w:t>This Power gives local councils confidence in the legal capacity to act for their communities. Councils can use this Power to work with others to provide cost effective services and facilities to meet the needs of local communities.</w:t>
      </w:r>
    </w:p>
    <w:p w14:paraId="708366BA" w14:textId="77777777" w:rsidR="00466487" w:rsidRPr="00466487" w:rsidRDefault="00466487" w:rsidP="00456698">
      <w:pPr>
        <w:rPr>
          <w:rFonts w:cs="Calibri"/>
          <w:sz w:val="24"/>
          <w:szCs w:val="24"/>
        </w:rPr>
      </w:pPr>
      <w:r w:rsidRPr="00466487">
        <w:rPr>
          <w:rFonts w:cs="Calibri"/>
          <w:sz w:val="24"/>
          <w:szCs w:val="24"/>
        </w:rPr>
        <w:t>Councils, once they’ve adopted the power, no longer need to ask whether they have a specific power to act, instead they can rely on this single power to make decisions and deliver services and projects.</w:t>
      </w:r>
    </w:p>
    <w:p w14:paraId="7C08D2F2" w14:textId="77777777" w:rsidR="00466487" w:rsidRPr="00466487" w:rsidRDefault="00466487" w:rsidP="00456698">
      <w:pPr>
        <w:rPr>
          <w:rFonts w:cs="Calibri"/>
          <w:sz w:val="24"/>
          <w:szCs w:val="24"/>
        </w:rPr>
      </w:pPr>
      <w:r w:rsidRPr="00466487">
        <w:rPr>
          <w:rFonts w:cs="Calibri"/>
          <w:b/>
          <w:bCs/>
          <w:sz w:val="24"/>
          <w:szCs w:val="24"/>
        </w:rPr>
        <w:t>Eligibility Criteria</w:t>
      </w:r>
    </w:p>
    <w:p w14:paraId="799184F9" w14:textId="1291260B" w:rsidR="00466487" w:rsidRPr="00466487" w:rsidRDefault="00466487" w:rsidP="00456698">
      <w:pPr>
        <w:rPr>
          <w:rFonts w:cs="Calibri"/>
          <w:sz w:val="24"/>
          <w:szCs w:val="24"/>
        </w:rPr>
      </w:pPr>
      <w:r w:rsidRPr="00466487">
        <w:rPr>
          <w:rFonts w:cs="Calibri"/>
          <w:sz w:val="24"/>
          <w:szCs w:val="24"/>
        </w:rPr>
        <w:t>In order to be eligible to adopt the General Power of Competence the Council must resolve that it meets the criteria for eligibility in relation to the electoral mandate and training of the Clerk:</w:t>
      </w:r>
    </w:p>
    <w:p w14:paraId="5EA7366C" w14:textId="77777777" w:rsidR="00466487" w:rsidRPr="00466487" w:rsidRDefault="00466487" w:rsidP="00466487">
      <w:pPr>
        <w:numPr>
          <w:ilvl w:val="0"/>
          <w:numId w:val="6"/>
        </w:numPr>
        <w:rPr>
          <w:rFonts w:cs="Calibri"/>
          <w:sz w:val="24"/>
          <w:szCs w:val="24"/>
        </w:rPr>
      </w:pPr>
      <w:r w:rsidRPr="00466487">
        <w:rPr>
          <w:rFonts w:cs="Calibri"/>
          <w:sz w:val="24"/>
          <w:szCs w:val="24"/>
        </w:rPr>
        <w:t>At least two thirds of the total seats on the Council must be held by elected Councillors (this means they should have stood for election, whether at an ordinary or by election, even if unopposed, rather than been co-opted or appointed).</w:t>
      </w:r>
    </w:p>
    <w:p w14:paraId="4FDFB1B6" w14:textId="77777777" w:rsidR="00466487" w:rsidRPr="00466487" w:rsidRDefault="00466487" w:rsidP="00466487">
      <w:pPr>
        <w:numPr>
          <w:ilvl w:val="0"/>
          <w:numId w:val="6"/>
        </w:numPr>
        <w:rPr>
          <w:rFonts w:cs="Calibri"/>
          <w:sz w:val="24"/>
          <w:szCs w:val="24"/>
        </w:rPr>
      </w:pPr>
      <w:r w:rsidRPr="00466487">
        <w:rPr>
          <w:rFonts w:cs="Calibri"/>
          <w:sz w:val="24"/>
          <w:szCs w:val="24"/>
        </w:rPr>
        <w:t>The Council’s Chief Clerk/Officer must hold the Certificate in Local Council Administration or an equivalent qualification and must have completed training in the exercise of this Power.</w:t>
      </w:r>
    </w:p>
    <w:p w14:paraId="53B18336" w14:textId="3F2B371C" w:rsidR="00466487" w:rsidRPr="00466487" w:rsidRDefault="00466487" w:rsidP="00EC3B6F">
      <w:pPr>
        <w:rPr>
          <w:rFonts w:cs="Calibri"/>
          <w:sz w:val="24"/>
          <w:szCs w:val="24"/>
        </w:rPr>
      </w:pPr>
      <w:r w:rsidRPr="00466487">
        <w:rPr>
          <w:rFonts w:cs="Calibri"/>
          <w:sz w:val="24"/>
          <w:szCs w:val="24"/>
        </w:rPr>
        <w:t>The resolution can be passed at any meeting of the Council but a further resolution must be passed at every subsequent ‘relevant annual meeting’ for the Council to be able to</w:t>
      </w:r>
      <w:r w:rsidR="00EC3B6F">
        <w:rPr>
          <w:rFonts w:cs="Calibri"/>
          <w:sz w:val="24"/>
          <w:szCs w:val="24"/>
        </w:rPr>
        <w:t xml:space="preserve"> </w:t>
      </w:r>
      <w:r w:rsidRPr="00466487">
        <w:rPr>
          <w:rFonts w:cs="Calibri"/>
          <w:sz w:val="24"/>
          <w:szCs w:val="24"/>
        </w:rPr>
        <w:t xml:space="preserve">continue </w:t>
      </w:r>
      <w:r w:rsidRPr="00466487">
        <w:rPr>
          <w:rFonts w:cs="Calibri"/>
          <w:sz w:val="24"/>
          <w:szCs w:val="24"/>
        </w:rPr>
        <w:lastRenderedPageBreak/>
        <w:t>to exercise the Power. A ‘relevant annual meeting’ is the annual meeting that takes place in a year of ordinary elections, once every four years.</w:t>
      </w:r>
    </w:p>
    <w:p w14:paraId="5C037E44" w14:textId="77777777" w:rsidR="00466487" w:rsidRPr="00466487" w:rsidRDefault="00466487" w:rsidP="00EC3B6F">
      <w:pPr>
        <w:rPr>
          <w:rFonts w:cs="Calibri"/>
          <w:sz w:val="24"/>
          <w:szCs w:val="24"/>
        </w:rPr>
      </w:pPr>
      <w:r w:rsidRPr="00466487">
        <w:rPr>
          <w:rFonts w:cs="Calibri"/>
          <w:sz w:val="24"/>
          <w:szCs w:val="24"/>
        </w:rPr>
        <w:t>If a Council loses its qualified clerk or has insufficient elected Councillors then it must record it’s ineligibility at the next ‘relevant’ annual meeting of the Council (after the ordinary election). If it has already started an activity it can finish that, but not start anything new.</w:t>
      </w:r>
    </w:p>
    <w:p w14:paraId="0D0FD3C4" w14:textId="77777777" w:rsidR="00466487" w:rsidRPr="00466487" w:rsidRDefault="00466487" w:rsidP="00D26871">
      <w:pPr>
        <w:rPr>
          <w:rFonts w:cs="Calibri"/>
          <w:sz w:val="24"/>
          <w:szCs w:val="24"/>
        </w:rPr>
      </w:pPr>
      <w:r w:rsidRPr="00466487">
        <w:rPr>
          <w:rFonts w:cs="Calibri"/>
          <w:sz w:val="24"/>
          <w:szCs w:val="24"/>
        </w:rPr>
        <w:t>There is no requirement for elected members to be trained in the General Power of Competence.</w:t>
      </w:r>
    </w:p>
    <w:p w14:paraId="18BEB250" w14:textId="77777777" w:rsidR="00466487" w:rsidRPr="00466487" w:rsidRDefault="00466487" w:rsidP="00D26871">
      <w:pPr>
        <w:rPr>
          <w:rFonts w:cs="Calibri"/>
          <w:sz w:val="24"/>
          <w:szCs w:val="24"/>
        </w:rPr>
      </w:pPr>
      <w:r w:rsidRPr="00466487">
        <w:rPr>
          <w:rFonts w:cs="Calibri"/>
          <w:b/>
          <w:bCs/>
          <w:sz w:val="24"/>
          <w:szCs w:val="24"/>
        </w:rPr>
        <w:t>Risks and Restrictions</w:t>
      </w:r>
    </w:p>
    <w:p w14:paraId="66CB5F08" w14:textId="77777777" w:rsidR="00466487" w:rsidRPr="00466487" w:rsidRDefault="00466487" w:rsidP="00D26871">
      <w:pPr>
        <w:rPr>
          <w:rFonts w:cs="Calibri"/>
          <w:sz w:val="24"/>
          <w:szCs w:val="24"/>
        </w:rPr>
      </w:pPr>
      <w:r w:rsidRPr="00466487">
        <w:rPr>
          <w:rFonts w:cs="Calibri"/>
          <w:sz w:val="24"/>
          <w:szCs w:val="24"/>
        </w:rPr>
        <w:t>There are limits to the power – councils are given </w:t>
      </w:r>
      <w:r w:rsidRPr="00466487">
        <w:rPr>
          <w:rFonts w:cs="Calibri"/>
          <w:i/>
          <w:iCs/>
          <w:sz w:val="24"/>
          <w:szCs w:val="24"/>
        </w:rPr>
        <w:t>‘the Power to do anything that individuals generally may do as long as they don’t break any other laws.</w:t>
      </w:r>
      <w:r w:rsidRPr="00466487">
        <w:rPr>
          <w:rFonts w:cs="Calibri"/>
          <w:sz w:val="24"/>
          <w:szCs w:val="24"/>
        </w:rPr>
        <w:t>’ It is intended to be a Power of first, not last, resort.</w:t>
      </w:r>
    </w:p>
    <w:p w14:paraId="2309AA0C" w14:textId="77777777" w:rsidR="00466487" w:rsidRPr="00466487" w:rsidRDefault="00466487" w:rsidP="00D26871">
      <w:pPr>
        <w:rPr>
          <w:rFonts w:cs="Calibri"/>
          <w:sz w:val="24"/>
          <w:szCs w:val="24"/>
        </w:rPr>
      </w:pPr>
      <w:r w:rsidRPr="00466487">
        <w:rPr>
          <w:rFonts w:cs="Calibri"/>
          <w:sz w:val="24"/>
          <w:szCs w:val="24"/>
        </w:rPr>
        <w:t>There are some limits on using the General Power of Competence where other laws take priority, for example duties on councils to act to prevent crime and disorder; to respect human rights; to consider biodiversity and to protect personal data.</w:t>
      </w:r>
    </w:p>
    <w:p w14:paraId="44CD56AA" w14:textId="77777777" w:rsidR="00466487" w:rsidRPr="00466487" w:rsidRDefault="00466487" w:rsidP="00FB5D38">
      <w:pPr>
        <w:rPr>
          <w:rFonts w:cs="Calibri"/>
          <w:sz w:val="24"/>
          <w:szCs w:val="24"/>
        </w:rPr>
      </w:pPr>
      <w:r w:rsidRPr="00466487">
        <w:rPr>
          <w:rFonts w:cs="Calibri"/>
          <w:sz w:val="24"/>
          <w:szCs w:val="24"/>
        </w:rPr>
        <w:t>The General Power of Competence does not mean the Council can delegate decisions to individual Councillors – it does not replace financial and procedural governance.</w:t>
      </w:r>
    </w:p>
    <w:p w14:paraId="14829C77" w14:textId="77777777" w:rsidR="00466487" w:rsidRPr="00466487" w:rsidRDefault="00466487" w:rsidP="00FB5D38">
      <w:pPr>
        <w:rPr>
          <w:rFonts w:cs="Calibri"/>
          <w:sz w:val="24"/>
          <w:szCs w:val="24"/>
        </w:rPr>
      </w:pPr>
      <w:r w:rsidRPr="00466487">
        <w:rPr>
          <w:rFonts w:cs="Calibri"/>
          <w:sz w:val="24"/>
          <w:szCs w:val="24"/>
        </w:rPr>
        <w:t>The Council has to ask itself if an individual is allowed to do it – if the answer is yes, then a Council is normally permitted to act in the same way. A Council could:</w:t>
      </w:r>
    </w:p>
    <w:p w14:paraId="71B93980" w14:textId="50E6FF0D" w:rsidR="00466487" w:rsidRPr="00466487" w:rsidRDefault="00466487" w:rsidP="00466487">
      <w:pPr>
        <w:numPr>
          <w:ilvl w:val="0"/>
          <w:numId w:val="7"/>
        </w:numPr>
        <w:rPr>
          <w:rFonts w:cs="Calibri"/>
          <w:sz w:val="24"/>
          <w:szCs w:val="24"/>
        </w:rPr>
      </w:pPr>
      <w:r w:rsidRPr="00466487">
        <w:rPr>
          <w:rFonts w:cs="Calibri"/>
          <w:sz w:val="24"/>
          <w:szCs w:val="24"/>
        </w:rPr>
        <w:t>lend money,</w:t>
      </w:r>
    </w:p>
    <w:p w14:paraId="69DFCD26" w14:textId="77777777" w:rsidR="00466487" w:rsidRPr="00466487" w:rsidRDefault="00466487" w:rsidP="00466487">
      <w:pPr>
        <w:numPr>
          <w:ilvl w:val="0"/>
          <w:numId w:val="7"/>
        </w:numPr>
        <w:rPr>
          <w:rFonts w:cs="Calibri"/>
          <w:sz w:val="24"/>
          <w:szCs w:val="24"/>
        </w:rPr>
      </w:pPr>
      <w:r w:rsidRPr="00466487">
        <w:rPr>
          <w:rFonts w:cs="Calibri"/>
          <w:sz w:val="24"/>
          <w:szCs w:val="24"/>
        </w:rPr>
        <w:t>set up a company or co-operative society to trade and engage in commercial activity,</w:t>
      </w:r>
    </w:p>
    <w:p w14:paraId="49CE0924" w14:textId="77777777" w:rsidR="00466487" w:rsidRPr="00466487" w:rsidRDefault="00466487" w:rsidP="00466487">
      <w:pPr>
        <w:numPr>
          <w:ilvl w:val="0"/>
          <w:numId w:val="7"/>
        </w:numPr>
        <w:rPr>
          <w:rFonts w:cs="Calibri"/>
          <w:sz w:val="24"/>
          <w:szCs w:val="24"/>
        </w:rPr>
      </w:pPr>
      <w:r w:rsidRPr="00466487">
        <w:rPr>
          <w:rFonts w:cs="Calibri"/>
          <w:sz w:val="24"/>
          <w:szCs w:val="24"/>
        </w:rPr>
        <w:t>run a community shop or post office.</w:t>
      </w:r>
    </w:p>
    <w:p w14:paraId="004177DC" w14:textId="77777777" w:rsidR="00466487" w:rsidRPr="00466487" w:rsidRDefault="00466487" w:rsidP="00466487">
      <w:pPr>
        <w:numPr>
          <w:ilvl w:val="0"/>
          <w:numId w:val="7"/>
        </w:numPr>
        <w:rPr>
          <w:rFonts w:cs="Calibri"/>
          <w:sz w:val="24"/>
          <w:szCs w:val="24"/>
        </w:rPr>
      </w:pPr>
      <w:r w:rsidRPr="00466487">
        <w:rPr>
          <w:rFonts w:cs="Calibri"/>
          <w:sz w:val="24"/>
          <w:szCs w:val="24"/>
        </w:rPr>
        <w:t>establish a company to provide services such as local transport.</w:t>
      </w:r>
    </w:p>
    <w:p w14:paraId="6A9FD4DD" w14:textId="77777777" w:rsidR="00466487" w:rsidRPr="00466487" w:rsidRDefault="00466487" w:rsidP="00466487">
      <w:pPr>
        <w:numPr>
          <w:ilvl w:val="0"/>
          <w:numId w:val="7"/>
        </w:numPr>
        <w:rPr>
          <w:rFonts w:cs="Calibri"/>
          <w:sz w:val="24"/>
          <w:szCs w:val="24"/>
        </w:rPr>
      </w:pPr>
      <w:r w:rsidRPr="00466487">
        <w:rPr>
          <w:rFonts w:cs="Calibri"/>
          <w:sz w:val="24"/>
          <w:szCs w:val="24"/>
        </w:rPr>
        <w:t>provide grants to individuals.</w:t>
      </w:r>
    </w:p>
    <w:p w14:paraId="323704EF" w14:textId="77777777" w:rsidR="00466487" w:rsidRPr="00466487" w:rsidRDefault="00466487" w:rsidP="009C7430">
      <w:pPr>
        <w:rPr>
          <w:rFonts w:cs="Calibri"/>
          <w:sz w:val="24"/>
          <w:szCs w:val="24"/>
        </w:rPr>
      </w:pPr>
      <w:r w:rsidRPr="00466487">
        <w:rPr>
          <w:rFonts w:cs="Calibri"/>
          <w:sz w:val="24"/>
          <w:szCs w:val="24"/>
        </w:rPr>
        <w:t>To use this Power the Council must have the support of the local community. Whilst Councils are encouraged to be innovative, Councillors must be aware of the risks in particular the potential for being challenged and damage to the Council’s reputation if a project goes wrong.</w:t>
      </w:r>
    </w:p>
    <w:p w14:paraId="11C12AC8" w14:textId="77777777" w:rsidR="00B32346" w:rsidRDefault="00B32346" w:rsidP="00B32346">
      <w:pPr>
        <w:rPr>
          <w:rFonts w:cs="Calibri"/>
          <w:sz w:val="24"/>
          <w:szCs w:val="24"/>
        </w:rPr>
      </w:pPr>
    </w:p>
    <w:p w14:paraId="42A36341" w14:textId="592756E1" w:rsidR="003628DE" w:rsidRPr="003628DE" w:rsidRDefault="003628DE" w:rsidP="00B32346">
      <w:pPr>
        <w:rPr>
          <w:rFonts w:cs="Calibri"/>
          <w:b/>
          <w:bCs/>
          <w:sz w:val="24"/>
          <w:szCs w:val="24"/>
        </w:rPr>
      </w:pPr>
      <w:r w:rsidRPr="003628DE">
        <w:rPr>
          <w:rFonts w:cs="Calibri"/>
          <w:b/>
          <w:bCs/>
          <w:sz w:val="24"/>
          <w:szCs w:val="24"/>
        </w:rPr>
        <w:t>Lisa Westcott – Clerk &amp; RFO</w:t>
      </w:r>
    </w:p>
    <w:p w14:paraId="77F22017" w14:textId="1C2C85F1" w:rsidR="003628DE" w:rsidRPr="003628DE" w:rsidRDefault="003628DE" w:rsidP="00B32346">
      <w:pPr>
        <w:rPr>
          <w:rFonts w:cs="Calibri"/>
          <w:b/>
          <w:bCs/>
          <w:sz w:val="24"/>
          <w:szCs w:val="24"/>
        </w:rPr>
      </w:pPr>
      <w:r w:rsidRPr="003628DE">
        <w:rPr>
          <w:rFonts w:cs="Calibri"/>
          <w:b/>
          <w:bCs/>
          <w:sz w:val="24"/>
          <w:szCs w:val="24"/>
        </w:rPr>
        <w:t>25</w:t>
      </w:r>
      <w:r w:rsidRPr="003628DE">
        <w:rPr>
          <w:rFonts w:cs="Calibri"/>
          <w:b/>
          <w:bCs/>
          <w:sz w:val="24"/>
          <w:szCs w:val="24"/>
          <w:vertAlign w:val="superscript"/>
        </w:rPr>
        <w:t>th</w:t>
      </w:r>
      <w:r w:rsidRPr="003628DE">
        <w:rPr>
          <w:rFonts w:cs="Calibri"/>
          <w:b/>
          <w:bCs/>
          <w:sz w:val="24"/>
          <w:szCs w:val="24"/>
        </w:rPr>
        <w:t xml:space="preserve"> June 2026</w:t>
      </w:r>
    </w:p>
    <w:p w14:paraId="59C62871" w14:textId="77777777" w:rsidR="00A31A3F" w:rsidRDefault="00A31A3F"/>
    <w:sectPr w:rsidR="00A31A3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72D1E" w14:textId="77777777" w:rsidR="00634056" w:rsidRDefault="00634056" w:rsidP="00B32346">
      <w:pPr>
        <w:spacing w:after="0" w:line="240" w:lineRule="auto"/>
      </w:pPr>
      <w:r>
        <w:separator/>
      </w:r>
    </w:p>
  </w:endnote>
  <w:endnote w:type="continuationSeparator" w:id="0">
    <w:p w14:paraId="23C8E247" w14:textId="77777777" w:rsidR="00634056" w:rsidRDefault="00634056" w:rsidP="00B323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ED61B" w14:textId="77777777" w:rsidR="00634056" w:rsidRDefault="00634056" w:rsidP="00B32346">
      <w:pPr>
        <w:spacing w:after="0" w:line="240" w:lineRule="auto"/>
      </w:pPr>
      <w:r>
        <w:separator/>
      </w:r>
    </w:p>
  </w:footnote>
  <w:footnote w:type="continuationSeparator" w:id="0">
    <w:p w14:paraId="66282863" w14:textId="77777777" w:rsidR="00634056" w:rsidRDefault="00634056" w:rsidP="00B323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02DFD"/>
    <w:multiLevelType w:val="hybridMultilevel"/>
    <w:tmpl w:val="1D246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154594"/>
    <w:multiLevelType w:val="multilevel"/>
    <w:tmpl w:val="00528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8A80BD1"/>
    <w:multiLevelType w:val="multilevel"/>
    <w:tmpl w:val="06F43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7B77A2"/>
    <w:multiLevelType w:val="multilevel"/>
    <w:tmpl w:val="C8B67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476671"/>
    <w:multiLevelType w:val="multilevel"/>
    <w:tmpl w:val="9C363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3BC1704"/>
    <w:multiLevelType w:val="hybridMultilevel"/>
    <w:tmpl w:val="607E5BCA"/>
    <w:lvl w:ilvl="0" w:tplc="2B96A8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7732E82"/>
    <w:multiLevelType w:val="multilevel"/>
    <w:tmpl w:val="D8E2DD18"/>
    <w:lvl w:ilvl="0">
      <w:start w:val="1"/>
      <w:numFmt w:val="decimal"/>
      <w:pStyle w:val="CommentTex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231965621">
    <w:abstractNumId w:val="5"/>
  </w:num>
  <w:num w:numId="2" w16cid:durableId="890117545">
    <w:abstractNumId w:val="6"/>
  </w:num>
  <w:num w:numId="3" w16cid:durableId="303584819">
    <w:abstractNumId w:val="2"/>
  </w:num>
  <w:num w:numId="4" w16cid:durableId="1798063491">
    <w:abstractNumId w:val="3"/>
  </w:num>
  <w:num w:numId="5" w16cid:durableId="285278808">
    <w:abstractNumId w:val="0"/>
  </w:num>
  <w:num w:numId="6" w16cid:durableId="431511417">
    <w:abstractNumId w:val="4"/>
  </w:num>
  <w:num w:numId="7" w16cid:durableId="2270405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346"/>
    <w:rsid w:val="0002751A"/>
    <w:rsid w:val="003628DE"/>
    <w:rsid w:val="003C674A"/>
    <w:rsid w:val="00456698"/>
    <w:rsid w:val="00466487"/>
    <w:rsid w:val="00502176"/>
    <w:rsid w:val="005F12D9"/>
    <w:rsid w:val="00634056"/>
    <w:rsid w:val="00672A4E"/>
    <w:rsid w:val="006F0E70"/>
    <w:rsid w:val="0075788F"/>
    <w:rsid w:val="007B6080"/>
    <w:rsid w:val="009C7430"/>
    <w:rsid w:val="00A31A3F"/>
    <w:rsid w:val="00B32346"/>
    <w:rsid w:val="00BA4971"/>
    <w:rsid w:val="00D26871"/>
    <w:rsid w:val="00EC3B6F"/>
    <w:rsid w:val="00FB5D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80EE9"/>
  <w15:chartTrackingRefBased/>
  <w15:docId w15:val="{920879EA-9BB4-4FAF-903C-E55440659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23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23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234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234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3234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3234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3234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3234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3234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3C674A"/>
    <w:pPr>
      <w:widowControl w:val="0"/>
      <w:numPr>
        <w:numId w:val="2"/>
      </w:numPr>
      <w:autoSpaceDE w:val="0"/>
      <w:autoSpaceDN w:val="0"/>
      <w:spacing w:after="0" w:line="240" w:lineRule="auto"/>
      <w:ind w:hanging="360"/>
    </w:pPr>
    <w:rPr>
      <w:rFonts w:ascii="Times New Roman" w:eastAsia="Times New Roman" w:hAnsi="Times New Roman"/>
      <w:sz w:val="20"/>
      <w:szCs w:val="20"/>
    </w:rPr>
  </w:style>
  <w:style w:type="character" w:customStyle="1" w:styleId="CommentTextChar">
    <w:name w:val="Comment Text Char"/>
    <w:basedOn w:val="DefaultParagraphFont"/>
    <w:link w:val="CommentText"/>
    <w:uiPriority w:val="99"/>
    <w:rsid w:val="003C674A"/>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B323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23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234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234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3234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3234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3234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3234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3234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323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23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234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234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32346"/>
    <w:pPr>
      <w:spacing w:before="160"/>
      <w:jc w:val="center"/>
    </w:pPr>
    <w:rPr>
      <w:i/>
      <w:iCs/>
      <w:color w:val="404040" w:themeColor="text1" w:themeTint="BF"/>
    </w:rPr>
  </w:style>
  <w:style w:type="character" w:customStyle="1" w:styleId="QuoteChar">
    <w:name w:val="Quote Char"/>
    <w:basedOn w:val="DefaultParagraphFont"/>
    <w:link w:val="Quote"/>
    <w:uiPriority w:val="29"/>
    <w:rsid w:val="00B32346"/>
    <w:rPr>
      <w:i/>
      <w:iCs/>
      <w:color w:val="404040" w:themeColor="text1" w:themeTint="BF"/>
    </w:rPr>
  </w:style>
  <w:style w:type="paragraph" w:styleId="ListParagraph">
    <w:name w:val="List Paragraph"/>
    <w:basedOn w:val="Normal"/>
    <w:uiPriority w:val="34"/>
    <w:qFormat/>
    <w:rsid w:val="00B32346"/>
    <w:pPr>
      <w:ind w:left="720"/>
      <w:contextualSpacing/>
    </w:pPr>
  </w:style>
  <w:style w:type="character" w:styleId="IntenseEmphasis">
    <w:name w:val="Intense Emphasis"/>
    <w:basedOn w:val="DefaultParagraphFont"/>
    <w:uiPriority w:val="21"/>
    <w:qFormat/>
    <w:rsid w:val="00B32346"/>
    <w:rPr>
      <w:i/>
      <w:iCs/>
      <w:color w:val="0F4761" w:themeColor="accent1" w:themeShade="BF"/>
    </w:rPr>
  </w:style>
  <w:style w:type="paragraph" w:styleId="IntenseQuote">
    <w:name w:val="Intense Quote"/>
    <w:basedOn w:val="Normal"/>
    <w:next w:val="Normal"/>
    <w:link w:val="IntenseQuoteChar"/>
    <w:uiPriority w:val="30"/>
    <w:qFormat/>
    <w:rsid w:val="00B323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2346"/>
    <w:rPr>
      <w:i/>
      <w:iCs/>
      <w:color w:val="0F4761" w:themeColor="accent1" w:themeShade="BF"/>
    </w:rPr>
  </w:style>
  <w:style w:type="character" w:styleId="IntenseReference">
    <w:name w:val="Intense Reference"/>
    <w:basedOn w:val="DefaultParagraphFont"/>
    <w:uiPriority w:val="32"/>
    <w:qFormat/>
    <w:rsid w:val="00B32346"/>
    <w:rPr>
      <w:b/>
      <w:bCs/>
      <w:smallCaps/>
      <w:color w:val="0F4761" w:themeColor="accent1" w:themeShade="BF"/>
      <w:spacing w:val="5"/>
    </w:rPr>
  </w:style>
  <w:style w:type="paragraph" w:styleId="BodyText">
    <w:name w:val="Body Text"/>
    <w:basedOn w:val="Normal"/>
    <w:link w:val="BodyTextChar"/>
    <w:uiPriority w:val="99"/>
    <w:semiHidden/>
    <w:unhideWhenUsed/>
    <w:rsid w:val="00B32346"/>
    <w:pPr>
      <w:spacing w:after="120" w:line="240" w:lineRule="auto"/>
    </w:pPr>
    <w:rPr>
      <w:rFonts w:asciiTheme="minorHAnsi" w:eastAsia="Times New Roman" w:hAnsiTheme="minorHAnsi" w:cstheme="minorHAnsi"/>
      <w:sz w:val="24"/>
      <w:szCs w:val="24"/>
    </w:rPr>
  </w:style>
  <w:style w:type="character" w:customStyle="1" w:styleId="BodyTextChar">
    <w:name w:val="Body Text Char"/>
    <w:basedOn w:val="DefaultParagraphFont"/>
    <w:link w:val="BodyText"/>
    <w:uiPriority w:val="99"/>
    <w:semiHidden/>
    <w:rsid w:val="00B32346"/>
    <w:rPr>
      <w:rFonts w:asciiTheme="minorHAnsi" w:eastAsia="Times New Roman" w:hAnsiTheme="minorHAnsi" w:cstheme="minorHAnsi"/>
      <w:sz w:val="24"/>
      <w:szCs w:val="24"/>
    </w:rPr>
  </w:style>
  <w:style w:type="paragraph" w:styleId="FootnoteText">
    <w:name w:val="footnote text"/>
    <w:basedOn w:val="Normal"/>
    <w:link w:val="FootnoteTextChar"/>
    <w:uiPriority w:val="99"/>
    <w:semiHidden/>
    <w:unhideWhenUsed/>
    <w:rsid w:val="00B32346"/>
    <w:pPr>
      <w:spacing w:after="0" w:line="240" w:lineRule="auto"/>
    </w:pPr>
    <w:rPr>
      <w:rFonts w:asciiTheme="minorHAnsi" w:eastAsia="Times New Roman" w:hAnsiTheme="minorHAnsi" w:cstheme="minorHAnsi"/>
      <w:sz w:val="20"/>
      <w:szCs w:val="20"/>
    </w:rPr>
  </w:style>
  <w:style w:type="character" w:customStyle="1" w:styleId="FootnoteTextChar">
    <w:name w:val="Footnote Text Char"/>
    <w:basedOn w:val="DefaultParagraphFont"/>
    <w:link w:val="FootnoteText"/>
    <w:uiPriority w:val="99"/>
    <w:semiHidden/>
    <w:rsid w:val="00B32346"/>
    <w:rPr>
      <w:rFonts w:asciiTheme="minorHAnsi" w:eastAsia="Times New Roman" w:hAnsiTheme="minorHAnsi" w:cstheme="minorHAnsi"/>
      <w:sz w:val="20"/>
      <w:szCs w:val="20"/>
    </w:rPr>
  </w:style>
  <w:style w:type="character" w:styleId="FootnoteReference">
    <w:name w:val="footnote reference"/>
    <w:basedOn w:val="DefaultParagraphFont"/>
    <w:uiPriority w:val="99"/>
    <w:semiHidden/>
    <w:unhideWhenUsed/>
    <w:rsid w:val="00B32346"/>
    <w:rPr>
      <w:vertAlign w:val="superscript"/>
    </w:rPr>
  </w:style>
  <w:style w:type="character" w:styleId="Hyperlink">
    <w:name w:val="Hyperlink"/>
    <w:basedOn w:val="DefaultParagraphFont"/>
    <w:uiPriority w:val="99"/>
    <w:unhideWhenUsed/>
    <w:rsid w:val="00B32346"/>
    <w:rPr>
      <w:color w:val="467886" w:themeColor="hyperlink"/>
      <w:u w:val="single"/>
    </w:rPr>
  </w:style>
  <w:style w:type="character" w:styleId="UnresolvedMention">
    <w:name w:val="Unresolved Mention"/>
    <w:basedOn w:val="DefaultParagraphFont"/>
    <w:uiPriority w:val="99"/>
    <w:semiHidden/>
    <w:unhideWhenUsed/>
    <w:rsid w:val="00B323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636</Words>
  <Characters>3626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Westcott</dc:creator>
  <cp:keywords/>
  <dc:description/>
  <cp:lastModifiedBy>Lisa Westcott</cp:lastModifiedBy>
  <cp:revision>9</cp:revision>
  <dcterms:created xsi:type="dcterms:W3CDTF">2026-06-25T08:37:00Z</dcterms:created>
  <dcterms:modified xsi:type="dcterms:W3CDTF">2026-06-25T09:11:00Z</dcterms:modified>
</cp:coreProperties>
</file>