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overflowPunct w:val="true"/>
        <w:spacing w:lineRule="auto" w:line="240" w:before="0" w:after="0"/>
        <w:textAlignment w:val="baseline"/>
        <w:rPr>
          <w:rFonts w:eastAsia="Times New Roman" w:cs="Arial"/>
          <w:b/>
          <w:b/>
          <w:szCs w:val="21"/>
        </w:rPr>
      </w:pPr>
      <w:r>
        <w:rPr>
          <w:rFonts w:eastAsia="Times New Roman" w:cs="Arial"/>
          <w:b/>
          <w:szCs w:val="21"/>
        </w:rPr>
        <w:t>WHAT SMALLER AUTHORITIES NEED TO DO TO ADVERTISE THE PERIOD DURING WHICH ELECTORS AND INTERESTED PERSONS MAY EXERCISE RIGHTS RELATING TO THE ANNUAL ACCOUNTS</w:t>
      </w:r>
    </w:p>
    <w:p>
      <w:pPr>
        <w:pStyle w:val="Normal"/>
        <w:overflowPunct w:val="true"/>
        <w:spacing w:lineRule="auto" w:line="240" w:before="0" w:after="0"/>
        <w:textAlignment w:val="baseline"/>
        <w:rPr>
          <w:rFonts w:eastAsia="Times New Roman" w:cs="Arial"/>
          <w:b/>
          <w:b/>
          <w:sz w:val="20"/>
          <w:szCs w:val="20"/>
        </w:rPr>
      </w:pPr>
      <w:r>
        <w:rPr>
          <w:rFonts w:eastAsia="Times New Roman" w:cs="Arial"/>
          <w:b/>
          <w:sz w:val="20"/>
          <w:szCs w:val="20"/>
        </w:rPr>
      </w:r>
    </w:p>
    <w:p>
      <w:pPr>
        <w:pStyle w:val="Normal"/>
        <w:overflowPunct w:val="true"/>
        <w:spacing w:lineRule="auto" w:line="240" w:before="0" w:after="120"/>
        <w:ind w:left="3" w:hanging="0"/>
        <w:textAlignment w:val="baseline"/>
        <w:rPr>
          <w:rFonts w:eastAsia="Times New Roman" w:cs="Arial"/>
          <w:szCs w:val="21"/>
        </w:rPr>
      </w:pPr>
      <w:r>
        <w:rPr>
          <w:rFonts w:eastAsia="Times New Roman" w:cs="Arial"/>
          <w:szCs w:val="21"/>
        </w:rPr>
        <w:t xml:space="preserve">The </w:t>
      </w:r>
      <w:hyperlink r:id="rId2">
        <w:r>
          <w:rPr>
            <w:rStyle w:val="InternetLink"/>
            <w:rFonts w:eastAsia="Times New Roman" w:cs="Arial"/>
            <w:szCs w:val="21"/>
          </w:rPr>
          <w:t>Local Audit and Accountability Act 2014</w:t>
        </w:r>
      </w:hyperlink>
      <w:r>
        <w:rPr>
          <w:rStyle w:val="InternetLink"/>
          <w:rFonts w:eastAsia="Times New Roman" w:cs="Arial"/>
          <w:szCs w:val="21"/>
        </w:rPr>
        <w:t>,</w:t>
      </w:r>
      <w:r>
        <w:rPr>
          <w:rFonts w:eastAsia="Times New Roman" w:cs="Arial"/>
          <w:szCs w:val="21"/>
        </w:rPr>
        <w:t xml:space="preserve"> the </w:t>
      </w:r>
      <w:hyperlink r:id="rId3">
        <w:r>
          <w:rPr>
            <w:rStyle w:val="InternetLink"/>
            <w:rFonts w:eastAsia="Times New Roman" w:cs="Arial"/>
            <w:szCs w:val="21"/>
          </w:rPr>
          <w:t>Accounts and Audit Regulations 2015</w:t>
        </w:r>
      </w:hyperlink>
      <w:r>
        <w:rPr>
          <w:rFonts w:eastAsia="Times New Roman" w:cs="Arial"/>
          <w:szCs w:val="21"/>
        </w:rPr>
        <w:t xml:space="preserve"> and the </w:t>
      </w:r>
      <w:hyperlink r:id="rId4">
        <w:bookmarkStart w:id="0" w:name="_Hlk37348109"/>
        <w:r>
          <w:rPr>
            <w:rStyle w:val="InternetLink"/>
            <w:rFonts w:eastAsia="Times New Roman" w:cs="Arial"/>
            <w:szCs w:val="21"/>
          </w:rPr>
          <w:t>Accounts and Audit (Coronavirus) (Amendment) Regulations 2020</w:t>
        </w:r>
      </w:hyperlink>
      <w:bookmarkEnd w:id="0"/>
      <w:r>
        <w:rPr>
          <w:rFonts w:eastAsia="Times New Roman" w:cs="Arial"/>
          <w:szCs w:val="21"/>
        </w:rPr>
        <w:t xml:space="preserve"> require that:</w:t>
      </w:r>
    </w:p>
    <w:p>
      <w:pPr>
        <w:pStyle w:val="Normal"/>
        <w:overflowPunct w:val="true"/>
        <w:spacing w:lineRule="auto" w:line="240" w:before="0" w:after="120"/>
        <w:ind w:left="3" w:hanging="0"/>
        <w:textAlignment w:val="baseline"/>
        <w:rPr>
          <w:rFonts w:eastAsia="Times New Roman" w:cs="Arial"/>
          <w:szCs w:val="21"/>
        </w:rPr>
      </w:pPr>
      <w:r>
        <w:rPr>
          <w:rFonts w:eastAsia="Times New Roman" w:cs="Arial"/>
          <w:szCs w:val="21"/>
        </w:rPr>
        <w:t>1. The</w:t>
      </w:r>
      <w:r>
        <w:rPr/>
        <w:t xml:space="preserve"> accounting records for the financial year to which the audit relates and all books, deeds, contracts, bills, vouchers, receipts and other documents relating to those records</w:t>
      </w:r>
      <w:r>
        <w:rPr>
          <w:rFonts w:eastAsia="Times New Roman" w:cs="Arial"/>
          <w:szCs w:val="21"/>
        </w:rPr>
        <w:t xml:space="preserve"> must be made available for inspection by any person interested, during a period of 30 working days set by the smaller authority that starts on or before  1 September 2020.</w:t>
      </w:r>
    </w:p>
    <w:p>
      <w:pPr>
        <w:pStyle w:val="Normal"/>
        <w:overflowPunct w:val="true"/>
        <w:spacing w:lineRule="auto" w:line="240" w:before="0" w:after="120"/>
        <w:ind w:left="3" w:hanging="0"/>
        <w:textAlignment w:val="baseline"/>
        <w:rPr>
          <w:rFonts w:eastAsia="Times New Roman" w:cs="Arial"/>
          <w:szCs w:val="21"/>
        </w:rPr>
      </w:pPr>
      <w:r>
        <w:rPr>
          <w:rFonts w:eastAsia="Times New Roman" w:cs="Arial"/>
          <w:szCs w:val="21"/>
        </w:rPr>
        <w:t xml:space="preserve">2. </w:t>
      </w:r>
      <w:r>
        <w:rPr/>
        <w:t>The period referred to in paragraph (1) starts with the day on which the period for the exercise of public rights is treated as having been commenced i.e. the day following the day on which all of the obligations in paragraph (3) below have been fulfilled.</w:t>
      </w:r>
    </w:p>
    <w:p>
      <w:pPr>
        <w:pStyle w:val="Normal"/>
        <w:rPr/>
      </w:pPr>
      <w:r>
        <w:rPr>
          <w:rFonts w:eastAsia="Times New Roman" w:cs="Arial"/>
          <w:szCs w:val="21"/>
        </w:rPr>
        <w:t xml:space="preserve">3. </w:t>
      </w:r>
      <w:r>
        <w:rPr/>
        <w:t>The res</w:t>
      </w:r>
      <w:bookmarkStart w:id="1" w:name="_GoBack"/>
      <w:bookmarkEnd w:id="1"/>
      <w:r>
        <w:rPr/>
        <w:t>ponsible financial officer for a relevant authority must, on behalf of that authority, publish (</w:t>
      </w:r>
      <w:r>
        <w:rPr>
          <w:b/>
        </w:rPr>
        <w:t>which must include publication on the authority’s website</w:t>
      </w:r>
      <w:r>
        <w:rPr/>
        <w:t>):</w:t>
      </w:r>
    </w:p>
    <w:p>
      <w:pPr>
        <w:pStyle w:val="Normal"/>
        <w:ind w:left="720" w:hanging="0"/>
        <w:rPr/>
      </w:pPr>
      <w:r>
        <w:rPr/>
        <w:t xml:space="preserve">(a) the Accounting Statements (i.e. Section 2 of either Part 2 or 3, whichever is relevant, of the </w:t>
      </w:r>
      <w:r>
        <w:rPr>
          <w:szCs w:val="21"/>
        </w:rPr>
        <w:t>Annual Governance &amp; Accountability Return</w:t>
      </w:r>
      <w:r>
        <w:rPr/>
        <w:t xml:space="preserve"> (AGAR)), accompanied by:</w:t>
      </w:r>
    </w:p>
    <w:p>
      <w:pPr>
        <w:pStyle w:val="Normal"/>
        <w:ind w:left="1440" w:hanging="0"/>
        <w:rPr/>
      </w:pPr>
      <w:r>
        <w:rPr/>
        <w:t xml:space="preserve">(i) a declaration, signed by that officer to the effect that the status of the Accounting Statements are unaudited and that the Accounting Statements as published may be subject to change; </w:t>
      </w:r>
    </w:p>
    <w:p>
      <w:pPr>
        <w:pStyle w:val="Normal"/>
        <w:ind w:left="1440" w:hanging="0"/>
        <w:rPr/>
      </w:pPr>
      <w:r>
        <w:rPr/>
        <w:t>(ii) the Annual Governance Statement (i.e. Section 1 of either Part 2 or Part 3, whichever is relevant, of the AGAR); and</w:t>
      </w:r>
    </w:p>
    <w:p>
      <w:pPr>
        <w:pStyle w:val="Normal"/>
        <w:spacing w:before="0" w:after="60"/>
        <w:ind w:left="720" w:hanging="0"/>
        <w:rPr/>
      </w:pPr>
      <w:r>
        <w:rPr/>
        <w:t>(b) a statement that sets out—</w:t>
      </w:r>
    </w:p>
    <w:p>
      <w:pPr>
        <w:pStyle w:val="Normal"/>
        <w:ind w:left="1440" w:hanging="0"/>
        <w:rPr/>
      </w:pPr>
      <w:r>
        <w:rPr/>
        <w:t>(i) the period for the exercise of public rights;</w:t>
      </w:r>
    </w:p>
    <w:p>
      <w:pPr>
        <w:pStyle w:val="Normal"/>
        <w:ind w:left="1440" w:hanging="0"/>
        <w:rPr/>
      </w:pPr>
      <w:r>
        <w:rPr/>
        <w:t>(ii) details of the manner in which notice should be given of an intention to inspect the accounting records and other documents;</w:t>
      </w:r>
    </w:p>
    <w:p>
      <w:pPr>
        <w:pStyle w:val="Normal"/>
        <w:ind w:left="1440" w:hanging="0"/>
        <w:rPr/>
      </w:pPr>
      <w:r>
        <w:rPr/>
        <w:t>(iii) the name and address of the local auditor;</w:t>
      </w:r>
    </w:p>
    <w:p>
      <w:pPr>
        <w:pStyle w:val="Normal"/>
        <w:overflowPunct w:val="true"/>
        <w:spacing w:lineRule="auto" w:line="240" w:before="0" w:after="60"/>
        <w:ind w:left="1440" w:hanging="0"/>
        <w:textAlignment w:val="baseline"/>
        <w:rPr>
          <w:rFonts w:eastAsia="Times New Roman" w:cs="Arial"/>
          <w:szCs w:val="21"/>
        </w:rPr>
      </w:pPr>
      <w:r>
        <w:rPr/>
        <w:t xml:space="preserve">(iv) the provisions contained in section 26 (inspection of documents etc.) and section 27 (right to make objections at audit) of the Act, as they have effect in relation to the authority in question; </w:t>
      </w:r>
      <w:r>
        <w:rPr>
          <w:rFonts w:eastAsia="Times New Roman" w:cs="Arial"/>
          <w:szCs w:val="21"/>
        </w:rPr>
        <w:t xml:space="preserve"> </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b/>
          <w:b/>
          <w:szCs w:val="21"/>
        </w:rPr>
      </w:pPr>
      <w:r>
        <w:rPr>
          <w:rFonts w:eastAsia="Times New Roman" w:cs="Arial"/>
          <w:b/>
          <w:szCs w:val="21"/>
        </w:rPr>
        <w:t>HOW DO YOU DO IT?</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120"/>
        <w:ind w:left="3" w:hanging="0"/>
        <w:textAlignment w:val="baseline"/>
        <w:rPr>
          <w:rFonts w:eastAsia="Times New Roman" w:cs="Arial"/>
          <w:szCs w:val="21"/>
        </w:rPr>
      </w:pPr>
      <w:r>
        <w:rPr>
          <w:rFonts w:eastAsia="Times New Roman" w:cs="Arial"/>
          <w:szCs w:val="21"/>
        </w:rPr>
        <w:t>1. You will meet statutory requirements if you fully and accurately complete the notice of public rights pro forma in this document, and</w:t>
      </w:r>
    </w:p>
    <w:p>
      <w:pPr>
        <w:pStyle w:val="Normal"/>
        <w:overflowPunct w:val="true"/>
        <w:spacing w:lineRule="auto" w:line="240" w:before="0" w:after="120"/>
        <w:ind w:left="3" w:hanging="0"/>
        <w:textAlignment w:val="baseline"/>
        <w:rPr>
          <w:rFonts w:eastAsia="Times New Roman" w:cs="Arial"/>
          <w:szCs w:val="21"/>
        </w:rPr>
      </w:pPr>
      <w:r>
        <w:rPr>
          <w:rFonts w:eastAsia="Times New Roman" w:cs="Arial"/>
          <w:szCs w:val="21"/>
        </w:rPr>
        <w:t>2. Publish (</w:t>
      </w:r>
      <w:r>
        <w:rPr>
          <w:rFonts w:eastAsia="Times New Roman" w:cs="Arial"/>
          <w:b/>
          <w:szCs w:val="21"/>
        </w:rPr>
        <w:t>including publication on the smaller authority’s website</w:t>
      </w:r>
      <w:r>
        <w:rPr>
          <w:rFonts w:eastAsia="Times New Roman" w:cs="Arial"/>
          <w:szCs w:val="21"/>
        </w:rPr>
        <w:t>) the following documents, the day before the public rights period commences:</w:t>
      </w:r>
    </w:p>
    <w:p>
      <w:pPr>
        <w:pStyle w:val="ListParagraph"/>
        <w:numPr>
          <w:ilvl w:val="0"/>
          <w:numId w:val="2"/>
        </w:numPr>
        <w:tabs>
          <w:tab w:val="clear" w:pos="720"/>
          <w:tab w:val="left" w:pos="284" w:leader="none"/>
          <w:tab w:val="left" w:pos="709" w:leader="none"/>
        </w:tabs>
        <w:spacing w:before="0" w:after="120"/>
        <w:contextualSpacing/>
        <w:jc w:val="both"/>
        <w:rPr>
          <w:szCs w:val="21"/>
        </w:rPr>
      </w:pPr>
      <w:r>
        <w:rPr>
          <w:szCs w:val="21"/>
        </w:rPr>
        <w:t>the approved Sections 1 and 2 of either Part 2 or 3, whichever is relevant to your smaller authority, of the AGAR; and</w:t>
      </w:r>
    </w:p>
    <w:p>
      <w:pPr>
        <w:pStyle w:val="ListParagraph"/>
        <w:numPr>
          <w:ilvl w:val="0"/>
          <w:numId w:val="2"/>
        </w:numPr>
        <w:tabs>
          <w:tab w:val="clear" w:pos="720"/>
          <w:tab w:val="left" w:pos="284" w:leader="none"/>
          <w:tab w:val="left" w:pos="709" w:leader="none"/>
        </w:tabs>
        <w:spacing w:before="0" w:after="120"/>
        <w:contextualSpacing/>
        <w:jc w:val="both"/>
        <w:rPr>
          <w:szCs w:val="21"/>
        </w:rPr>
      </w:pPr>
      <w:r>
        <w:rPr>
          <w:szCs w:val="21"/>
        </w:rPr>
        <w:t xml:space="preserve">the completed Notice of Public Rights and Publication of Unaudited Annual Governance &amp; Accountability Return. Please note that we have pre-completed it with the following </w:t>
      </w:r>
      <w:r>
        <w:rPr>
          <w:b/>
          <w:szCs w:val="21"/>
        </w:rPr>
        <w:t>suggested</w:t>
      </w:r>
      <w:r>
        <w:rPr>
          <w:szCs w:val="21"/>
        </w:rPr>
        <w:t xml:space="preserve"> dates: Monday 15 June – Friday 24 July 2020. (The latest possible dates that comply with the statutory requirements are Tuesday 1 September – Monday 12 October 2020); and</w:t>
      </w:r>
    </w:p>
    <w:p>
      <w:pPr>
        <w:pStyle w:val="ListParagraph"/>
        <w:numPr>
          <w:ilvl w:val="0"/>
          <w:numId w:val="2"/>
        </w:numPr>
        <w:tabs>
          <w:tab w:val="clear" w:pos="720"/>
          <w:tab w:val="left" w:pos="284" w:leader="none"/>
          <w:tab w:val="left" w:pos="709" w:leader="none"/>
        </w:tabs>
        <w:spacing w:before="0" w:after="120"/>
        <w:contextualSpacing/>
        <w:jc w:val="both"/>
        <w:rPr>
          <w:szCs w:val="21"/>
        </w:rPr>
      </w:pPr>
      <w:r>
        <w:rPr>
          <w:szCs w:val="21"/>
        </w:rPr>
        <w:t>the notes which accompany the Notice (Local authority accounts: a summary of your rights).</w:t>
      </w:r>
    </w:p>
    <w:p>
      <w:pPr>
        <w:pStyle w:val="Normal"/>
        <w:spacing w:lineRule="auto" w:line="240" w:before="0" w:after="0"/>
        <w:jc w:val="center"/>
        <w:rPr>
          <w:rFonts w:eastAsia="Times New Roman" w:cs="Arial"/>
          <w:b/>
          <w:b/>
          <w:sz w:val="28"/>
          <w:szCs w:val="28"/>
        </w:rPr>
      </w:pPr>
      <w:r>
        <w:rPr>
          <w:rFonts w:eastAsia="Times New Roman" w:cs="Arial"/>
          <w:b/>
          <w:sz w:val="24"/>
          <w:szCs w:val="24"/>
        </w:rPr>
        <w:t>WIGHILL PARISH COUNCIL</w:t>
      </w:r>
    </w:p>
    <w:p>
      <w:pPr>
        <w:pStyle w:val="Normal"/>
        <w:spacing w:lineRule="auto" w:line="240" w:before="0" w:after="0"/>
        <w:jc w:val="center"/>
        <w:rPr>
          <w:rFonts w:eastAsia="Times New Roman" w:cs="Arial"/>
          <w:b/>
          <w:b/>
          <w:sz w:val="28"/>
          <w:szCs w:val="28"/>
        </w:rPr>
      </w:pPr>
      <w:r>
        <w:rPr>
          <w:rFonts w:eastAsia="Times New Roman" w:cs="Arial"/>
          <w:b/>
          <w:sz w:val="24"/>
          <w:szCs w:val="24"/>
        </w:rPr>
        <w:t>NOTICE OF PUBLIC RIGHTS AND PUBLICATION OF UNAUDITED ANNUAL GOVERNANCE &amp; ACCOUNTABILITY RETURN</w:t>
      </w:r>
    </w:p>
    <w:p>
      <w:pPr>
        <w:pStyle w:val="Normal"/>
        <w:overflowPunct w:val="true"/>
        <w:spacing w:lineRule="auto" w:line="240" w:before="0" w:after="0"/>
        <w:jc w:val="center"/>
        <w:textAlignment w:val="baseline"/>
        <w:rPr>
          <w:rFonts w:eastAsia="Times New Roman" w:cs="Arial"/>
          <w:b/>
          <w:b/>
          <w:szCs w:val="21"/>
        </w:rPr>
      </w:pPr>
      <w:r>
        <w:rPr>
          <w:rFonts w:eastAsia="Times New Roman" w:cs="Arial"/>
          <w:b/>
          <w:szCs w:val="21"/>
        </w:rPr>
        <w:t>ACCOUNTS FOR THE YEAR ENDED 31 MARCH 2020</w:t>
      </w:r>
    </w:p>
    <w:p>
      <w:pPr>
        <w:pStyle w:val="Normal"/>
        <w:overflowPunct w:val="true"/>
        <w:spacing w:lineRule="auto" w:line="240" w:before="0" w:after="0"/>
        <w:textAlignment w:val="baseline"/>
        <w:rPr>
          <w:rFonts w:eastAsia="Times New Roman" w:cs="Arial"/>
          <w:szCs w:val="21"/>
        </w:rPr>
      </w:pPr>
      <w:r>
        <w:rPr>
          <w:rFonts w:eastAsia="Times New Roman" w:cs="Arial"/>
          <w:szCs w:val="21"/>
        </w:rPr>
      </w:r>
    </w:p>
    <w:p>
      <w:pPr>
        <w:pStyle w:val="Normal"/>
        <w:overflowPunct w:val="true"/>
        <w:spacing w:lineRule="auto" w:line="240" w:before="0" w:after="0"/>
        <w:jc w:val="center"/>
        <w:textAlignment w:val="baseline"/>
        <w:rPr>
          <w:rFonts w:eastAsia="Times New Roman" w:cs="Arial"/>
          <w:b/>
          <w:b/>
          <w:szCs w:val="21"/>
        </w:rPr>
      </w:pPr>
      <w:r>
        <w:rPr>
          <w:rFonts w:eastAsia="Times New Roman" w:cs="Arial"/>
          <w:b/>
          <w:szCs w:val="21"/>
        </w:rPr>
        <w:t xml:space="preserve">Local Audit and Accountability Act 2014 Sections 25, 26 and 27 </w:t>
      </w:r>
    </w:p>
    <w:p>
      <w:pPr>
        <w:pStyle w:val="Normal"/>
        <w:overflowPunct w:val="true"/>
        <w:spacing w:lineRule="auto" w:line="240" w:before="0" w:after="0"/>
        <w:jc w:val="center"/>
        <w:textAlignment w:val="baseline"/>
        <w:rPr>
          <w:rFonts w:eastAsia="Times New Roman" w:cs="Arial"/>
          <w:b/>
          <w:b/>
          <w:szCs w:val="21"/>
        </w:rPr>
      </w:pPr>
      <w:r>
        <w:rPr>
          <w:rFonts w:eastAsia="Times New Roman" w:cs="Arial"/>
          <w:b/>
          <w:szCs w:val="21"/>
        </w:rPr>
        <w:t>The Accounts and Audit Regulations 2015 (SI 2015/234)</w:t>
      </w:r>
    </w:p>
    <w:p>
      <w:pPr>
        <w:pStyle w:val="Normal"/>
        <w:overflowPunct w:val="true"/>
        <w:spacing w:lineRule="auto" w:line="240" w:before="0" w:after="0"/>
        <w:jc w:val="center"/>
        <w:textAlignment w:val="baseline"/>
        <w:rPr>
          <w:rFonts w:eastAsia="Times New Roman" w:cs="Arial"/>
          <w:b/>
          <w:b/>
          <w:szCs w:val="21"/>
        </w:rPr>
      </w:pPr>
      <w:r>
        <w:rPr>
          <w:rFonts w:eastAsia="Times New Roman" w:cs="Arial"/>
          <w:b/>
          <w:szCs w:val="21"/>
        </w:rPr>
        <w:t>The Accounts and Audit (Coronavirus) (Amendment) Regulations 2020 (SI 2020/404)</w:t>
      </w:r>
    </w:p>
    <w:tbl>
      <w:tblPr>
        <w:tblW w:w="10031" w:type="dxa"/>
        <w:jc w:val="left"/>
        <w:tblInd w:w="0" w:type="dxa"/>
        <w:tblCellMar>
          <w:top w:w="0" w:type="dxa"/>
          <w:left w:w="108" w:type="dxa"/>
          <w:bottom w:w="0" w:type="dxa"/>
          <w:right w:w="108" w:type="dxa"/>
        </w:tblCellMar>
        <w:tblLook w:firstRow="1" w:noVBand="1" w:lastRow="0" w:firstColumn="1" w:lastColumn="0" w:noHBand="0" w:val="04a0"/>
      </w:tblPr>
      <w:tblGrid>
        <w:gridCol w:w="6911"/>
        <w:gridCol w:w="3119"/>
      </w:tblGrid>
      <w:tr>
        <w:trPr/>
        <w:tc>
          <w:tcPr>
            <w:tcW w:w="6911" w:type="dxa"/>
            <w:tcBorders>
              <w:top w:val="single" w:sz="4" w:space="0" w:color="000000"/>
              <w:left w:val="single" w:sz="4" w:space="0" w:color="000000"/>
              <w:bottom w:val="single" w:sz="4" w:space="0" w:color="000000"/>
              <w:right w:val="single" w:sz="4" w:space="0" w:color="000000"/>
            </w:tcBorders>
          </w:tcPr>
          <w:p>
            <w:pPr>
              <w:pStyle w:val="Normal"/>
              <w:overflowPunct w:val="true"/>
              <w:spacing w:lineRule="auto" w:line="240" w:before="0" w:after="0"/>
              <w:jc w:val="center"/>
              <w:textAlignment w:val="baseline"/>
              <w:rPr>
                <w:rFonts w:eastAsia="Times New Roman" w:cs="Arial"/>
                <w:b/>
                <w:b/>
                <w:sz w:val="24"/>
                <w:szCs w:val="24"/>
              </w:rPr>
            </w:pPr>
            <w:r>
              <w:rPr>
                <w:rFonts w:eastAsia="Times New Roman" w:cs="Arial"/>
                <w:b/>
                <w:sz w:val="24"/>
                <w:szCs w:val="24"/>
              </w:rPr>
              <w:t>NOTICE</w:t>
            </w:r>
          </w:p>
        </w:tc>
        <w:tc>
          <w:tcPr>
            <w:tcW w:w="3119" w:type="dxa"/>
            <w:tcBorders>
              <w:top w:val="single" w:sz="4" w:space="0" w:color="000000"/>
              <w:left w:val="single" w:sz="4" w:space="0" w:color="000000"/>
              <w:bottom w:val="single" w:sz="4" w:space="0" w:color="000000"/>
              <w:right w:val="single" w:sz="4" w:space="0" w:color="000000"/>
            </w:tcBorders>
          </w:tcPr>
          <w:p>
            <w:pPr>
              <w:pStyle w:val="Normal"/>
              <w:overflowPunct w:val="true"/>
              <w:spacing w:lineRule="auto" w:line="240" w:before="0" w:after="0"/>
              <w:jc w:val="center"/>
              <w:textAlignment w:val="baseline"/>
              <w:rPr>
                <w:rFonts w:eastAsia="Times New Roman" w:cs="Arial"/>
                <w:szCs w:val="21"/>
              </w:rPr>
            </w:pPr>
            <w:r>
              <w:rPr>
                <w:rFonts w:eastAsia="Times New Roman" w:cs="Arial"/>
                <w:szCs w:val="21"/>
              </w:rPr>
              <w:t>NOTES</w:t>
            </w:r>
          </w:p>
        </w:tc>
      </w:tr>
      <w:tr>
        <w:trPr/>
        <w:tc>
          <w:tcPr>
            <w:tcW w:w="6911" w:type="dxa"/>
            <w:tcBorders>
              <w:top w:val="single" w:sz="4" w:space="0" w:color="000000"/>
              <w:left w:val="single" w:sz="4" w:space="0" w:color="000000"/>
              <w:bottom w:val="single" w:sz="4" w:space="0" w:color="000000"/>
              <w:right w:val="single" w:sz="4" w:space="0" w:color="000000"/>
            </w:tcBorders>
          </w:tcPr>
          <w:p>
            <w:pPr>
              <w:pStyle w:val="Normal"/>
              <w:overflowPunct w:val="true"/>
              <w:spacing w:lineRule="auto" w:line="240" w:before="0" w:after="0"/>
              <w:textAlignment w:val="baseline"/>
              <w:rPr>
                <w:rFonts w:eastAsia="Times New Roman" w:cs="Arial"/>
                <w:b/>
                <w:b/>
                <w:sz w:val="18"/>
                <w:szCs w:val="18"/>
              </w:rPr>
            </w:pPr>
            <w:r>
              <w:rPr>
                <w:rFonts w:eastAsia="Times New Roman" w:cs="Arial"/>
                <w:b/>
                <w:sz w:val="18"/>
                <w:szCs w:val="18"/>
              </w:rPr>
            </w:r>
          </w:p>
          <w:p>
            <w:pPr>
              <w:pStyle w:val="Normal"/>
              <w:overflowPunct w:val="true"/>
              <w:spacing w:lineRule="auto" w:line="240" w:before="0" w:after="240"/>
              <w:jc w:val="left"/>
              <w:textAlignment w:val="baseline"/>
              <w:rPr>
                <w:rFonts w:eastAsia="Times New Roman" w:cs="Arial"/>
                <w:b/>
                <w:b/>
                <w:sz w:val="18"/>
                <w:szCs w:val="18"/>
              </w:rPr>
            </w:pPr>
            <w:r>
              <w:rPr>
                <w:rFonts w:eastAsia="Times New Roman" w:cs="Arial"/>
                <w:b/>
                <w:sz w:val="18"/>
                <w:szCs w:val="18"/>
              </w:rPr>
              <w:t xml:space="preserve">1. Date of announcement  </w:t>
            </w:r>
            <w:r>
              <w:rPr>
                <w:rFonts w:eastAsia="Times New Roman" w:cs="Arial"/>
                <w:b/>
                <w:bCs/>
                <w:sz w:val="18"/>
                <w:szCs w:val="18"/>
              </w:rPr>
              <w:t>21 May 2020</w:t>
            </w:r>
          </w:p>
          <w:p>
            <w:pPr>
              <w:pStyle w:val="Normal"/>
              <w:overflowPunct w:val="true"/>
              <w:spacing w:lineRule="auto" w:line="240" w:before="0" w:after="0"/>
              <w:contextualSpacing/>
              <w:textAlignment w:val="baseline"/>
              <w:rPr>
                <w:rFonts w:eastAsia="Times New Roman" w:cs="Arial"/>
                <w:b/>
                <w:b/>
                <w:sz w:val="18"/>
                <w:szCs w:val="18"/>
              </w:rPr>
            </w:pPr>
            <w:r>
              <w:rPr>
                <w:rFonts w:eastAsia="Times New Roman" w:cs="Arial"/>
                <w:b/>
                <w:sz w:val="18"/>
                <w:szCs w:val="18"/>
              </w:rPr>
              <w:t xml:space="preserve">2. Each year the smaller authority’s Annual Governance and Accountability Return (AGAR) needs to be reviewed by an external auditor appointed by Smaller Authorities’ Audit Appointments Ltd.  The unaudited AGAR has been published with this notice. As it has yet to be reviewed by the appointed auditor, it is subject to change as a result of that review. </w:t>
            </w:r>
          </w:p>
          <w:p>
            <w:pPr>
              <w:pStyle w:val="Normal"/>
              <w:overflowPunct w:val="true"/>
              <w:spacing w:lineRule="auto" w:line="240" w:before="0" w:after="0"/>
              <w:contextualSpacing/>
              <w:textAlignment w:val="baseline"/>
              <w:rPr>
                <w:rFonts w:eastAsia="Times New Roman" w:cs="Arial"/>
                <w:b/>
                <w:b/>
                <w:sz w:val="18"/>
                <w:szCs w:val="18"/>
              </w:rPr>
            </w:pPr>
            <w:r>
              <w:rPr>
                <w:rFonts w:eastAsia="Times New Roman" w:cs="Arial"/>
                <w:b/>
                <w:sz w:val="18"/>
                <w:szCs w:val="18"/>
              </w:rPr>
              <w:t>Any person interested has the right to inspect and make copies of the accounting records for the financial year to which the audit relates and all books, deeds, contracts, bills, vouchers, receipts and other documents relating to those records must be made available for inspection by any person interested. For the year ended 31 March 2020, these documents will be available on reasonable notice by application to:</w:t>
            </w:r>
          </w:p>
          <w:p>
            <w:pPr>
              <w:pStyle w:val="Normal"/>
              <w:overflowPunct w:val="true"/>
              <w:spacing w:lineRule="auto" w:line="240" w:before="0" w:after="0"/>
              <w:textAlignment w:val="baseline"/>
              <w:rPr>
                <w:rFonts w:eastAsia="Times New Roman" w:cs="Arial"/>
                <w:b/>
                <w:b/>
                <w:sz w:val="18"/>
                <w:szCs w:val="18"/>
              </w:rPr>
            </w:pPr>
            <w:r>
              <w:rPr>
                <w:rFonts w:eastAsia="Times New Roman" w:cs="Arial"/>
                <w:b/>
                <w:sz w:val="18"/>
                <w:szCs w:val="18"/>
              </w:rPr>
            </w:r>
          </w:p>
          <w:p>
            <w:pPr>
              <w:pStyle w:val="Normal"/>
              <w:tabs>
                <w:tab w:val="clear" w:pos="720"/>
                <w:tab w:val="left" w:pos="284" w:leader="none"/>
                <w:tab w:val="left" w:pos="709" w:leader="none"/>
              </w:tabs>
              <w:overflowPunct w:val="true"/>
              <w:spacing w:lineRule="auto" w:line="240" w:before="0" w:after="0"/>
              <w:ind w:left="360" w:hanging="0"/>
              <w:textAlignment w:val="baseline"/>
              <w:rPr>
                <w:rFonts w:eastAsia="Times New Roman" w:cs="Arial"/>
                <w:sz w:val="18"/>
                <w:szCs w:val="18"/>
              </w:rPr>
            </w:pPr>
            <w:r>
              <w:rPr>
                <w:rFonts w:eastAsia="Times New Roman" w:cs="Arial"/>
                <w:sz w:val="18"/>
                <w:szCs w:val="18"/>
              </w:rPr>
              <w:t xml:space="preserve">(b) </w:t>
              <w:tab/>
              <w:t xml:space="preserve"> </w:t>
            </w:r>
            <w:r>
              <w:rPr>
                <w:rFonts w:eastAsia="Times New Roman" w:cs="Arial"/>
                <w:b/>
                <w:bCs/>
                <w:sz w:val="18"/>
                <w:szCs w:val="18"/>
              </w:rPr>
              <w:t>Trevor Grant Clerk/RFO</w:t>
            </w:r>
          </w:p>
          <w:p>
            <w:pPr>
              <w:pStyle w:val="Normal"/>
              <w:tabs>
                <w:tab w:val="clear" w:pos="720"/>
                <w:tab w:val="left" w:pos="284" w:leader="none"/>
                <w:tab w:val="left" w:pos="709" w:leader="none"/>
              </w:tabs>
              <w:overflowPunct w:val="true"/>
              <w:spacing w:lineRule="auto" w:line="240" w:before="0" w:after="0"/>
              <w:ind w:left="360" w:hanging="0"/>
              <w:textAlignment w:val="baseline"/>
              <w:rPr>
                <w:rFonts w:eastAsia="Times New Roman" w:cs="Arial"/>
                <w:sz w:val="18"/>
                <w:szCs w:val="18"/>
              </w:rPr>
            </w:pPr>
            <w:r>
              <w:rPr>
                <w:rFonts w:eastAsia="Times New Roman" w:cs="Arial"/>
                <w:b/>
                <w:bCs/>
                <w:sz w:val="18"/>
                <w:szCs w:val="18"/>
              </w:rPr>
              <w:tab/>
              <w:t xml:space="preserve"> Stonecroft Tom Cat Lane Bickerton Wetherby LS22 5ES</w:t>
            </w:r>
          </w:p>
          <w:p>
            <w:pPr>
              <w:pStyle w:val="Normal"/>
              <w:tabs>
                <w:tab w:val="clear" w:pos="720"/>
                <w:tab w:val="left" w:pos="284" w:leader="none"/>
                <w:tab w:val="left" w:pos="709" w:leader="none"/>
              </w:tabs>
              <w:overflowPunct w:val="true"/>
              <w:spacing w:lineRule="auto" w:line="240" w:before="0" w:after="0"/>
              <w:ind w:left="360" w:hanging="0"/>
              <w:textAlignment w:val="baseline"/>
              <w:rPr>
                <w:rFonts w:eastAsia="Times New Roman" w:cs="Arial"/>
                <w:sz w:val="18"/>
                <w:szCs w:val="18"/>
              </w:rPr>
            </w:pPr>
            <w:r>
              <w:rPr>
                <w:rFonts w:eastAsia="Times New Roman" w:cs="Arial"/>
                <w:b/>
                <w:bCs/>
                <w:sz w:val="18"/>
                <w:szCs w:val="18"/>
              </w:rPr>
              <w:t xml:space="preserve">        </w:t>
            </w:r>
            <w:r>
              <w:rPr>
                <w:rFonts w:eastAsia="Times New Roman" w:cs="Arial"/>
                <w:b/>
                <w:bCs/>
                <w:sz w:val="18"/>
                <w:szCs w:val="18"/>
              </w:rPr>
              <w:t>Tel: 01423 359961 or 07976 263218 (mob)</w:t>
            </w:r>
          </w:p>
          <w:p>
            <w:pPr>
              <w:pStyle w:val="Normal"/>
              <w:tabs>
                <w:tab w:val="clear" w:pos="720"/>
                <w:tab w:val="left" w:pos="284" w:leader="none"/>
                <w:tab w:val="left" w:pos="709" w:leader="none"/>
              </w:tabs>
              <w:overflowPunct w:val="true"/>
              <w:spacing w:lineRule="auto" w:line="240" w:before="0" w:after="0"/>
              <w:ind w:left="360" w:hanging="0"/>
              <w:textAlignment w:val="baseline"/>
              <w:rPr>
                <w:rFonts w:eastAsia="Times New Roman" w:cs="Arial"/>
                <w:sz w:val="18"/>
                <w:szCs w:val="18"/>
              </w:rPr>
            </w:pPr>
            <w:r>
              <w:rPr>
                <w:rFonts w:eastAsia="Times New Roman" w:cs="Arial"/>
                <w:sz w:val="18"/>
                <w:szCs w:val="18"/>
              </w:rPr>
            </w:r>
          </w:p>
          <w:p>
            <w:pPr>
              <w:pStyle w:val="Normal"/>
              <w:tabs>
                <w:tab w:val="clear" w:pos="720"/>
                <w:tab w:val="left" w:pos="284" w:leader="none"/>
                <w:tab w:val="left" w:pos="709" w:leader="none"/>
              </w:tabs>
              <w:overflowPunct w:val="true"/>
              <w:spacing w:lineRule="auto" w:line="240" w:before="0" w:after="0"/>
              <w:ind w:left="360" w:hanging="0"/>
              <w:textAlignment w:val="baseline"/>
              <w:rPr>
                <w:rFonts w:eastAsia="Times New Roman" w:cs="Arial"/>
                <w:sz w:val="18"/>
                <w:szCs w:val="18"/>
              </w:rPr>
            </w:pPr>
            <w:r>
              <w:rPr>
                <w:rFonts w:eastAsia="Times New Roman" w:cs="Arial"/>
                <w:sz w:val="18"/>
                <w:szCs w:val="18"/>
              </w:rPr>
              <w:t xml:space="preserve">commencing on (c)  </w:t>
            </w:r>
            <w:r>
              <w:rPr>
                <w:rFonts w:eastAsia="Times New Roman" w:cs="Arial"/>
                <w:b/>
                <w:sz w:val="18"/>
                <w:szCs w:val="18"/>
              </w:rPr>
              <w:t>Monday 15 June 2020</w:t>
            </w:r>
            <w:r>
              <w:rPr>
                <w:rFonts w:eastAsia="Times New Roman" w:cs="Arial"/>
                <w:sz w:val="18"/>
                <w:szCs w:val="18"/>
              </w:rPr>
              <w:t xml:space="preserve"> </w:t>
            </w:r>
          </w:p>
          <w:p>
            <w:pPr>
              <w:pStyle w:val="Normal"/>
              <w:tabs>
                <w:tab w:val="clear" w:pos="720"/>
                <w:tab w:val="left" w:pos="284" w:leader="none"/>
                <w:tab w:val="left" w:pos="709" w:leader="none"/>
              </w:tabs>
              <w:overflowPunct w:val="true"/>
              <w:spacing w:lineRule="auto" w:line="240" w:before="0" w:after="0"/>
              <w:ind w:left="360" w:hanging="0"/>
              <w:textAlignment w:val="baseline"/>
              <w:rPr>
                <w:rFonts w:eastAsia="Times New Roman" w:cs="Arial"/>
                <w:sz w:val="18"/>
                <w:szCs w:val="18"/>
              </w:rPr>
            </w:pPr>
            <w:r>
              <w:rPr>
                <w:rFonts w:eastAsia="Times New Roman" w:cs="Arial"/>
                <w:sz w:val="18"/>
                <w:szCs w:val="18"/>
              </w:rPr>
            </w:r>
          </w:p>
          <w:p>
            <w:pPr>
              <w:pStyle w:val="Normal"/>
              <w:tabs>
                <w:tab w:val="clear" w:pos="720"/>
                <w:tab w:val="left" w:pos="284" w:leader="none"/>
                <w:tab w:val="left" w:pos="709" w:leader="none"/>
              </w:tabs>
              <w:overflowPunct w:val="true"/>
              <w:spacing w:lineRule="auto" w:line="240" w:before="0" w:after="120"/>
              <w:ind w:left="357" w:hanging="0"/>
              <w:textAlignment w:val="baseline"/>
              <w:rPr>
                <w:rFonts w:eastAsia="Times New Roman" w:cs="Arial"/>
                <w:sz w:val="18"/>
                <w:szCs w:val="18"/>
              </w:rPr>
            </w:pPr>
            <w:r>
              <w:rPr>
                <w:rFonts w:eastAsia="Times New Roman" w:cs="Arial"/>
                <w:sz w:val="18"/>
                <w:szCs w:val="18"/>
              </w:rPr>
            </w:r>
          </w:p>
          <w:p>
            <w:pPr>
              <w:pStyle w:val="Normal"/>
              <w:tabs>
                <w:tab w:val="clear" w:pos="720"/>
                <w:tab w:val="left" w:pos="284" w:leader="none"/>
                <w:tab w:val="left" w:pos="709" w:leader="none"/>
              </w:tabs>
              <w:overflowPunct w:val="true"/>
              <w:spacing w:lineRule="auto" w:line="240" w:before="0" w:after="0"/>
              <w:ind w:left="360" w:hanging="0"/>
              <w:textAlignment w:val="baseline"/>
              <w:rPr>
                <w:rFonts w:eastAsia="Times New Roman" w:cs="Arial"/>
                <w:sz w:val="18"/>
                <w:szCs w:val="18"/>
              </w:rPr>
            </w:pPr>
            <w:r>
              <w:rPr>
                <w:rFonts w:eastAsia="Times New Roman" w:cs="Arial"/>
                <w:sz w:val="18"/>
                <w:szCs w:val="18"/>
              </w:rPr>
              <w:t xml:space="preserve">and ending on (d)     </w:t>
            </w:r>
            <w:r>
              <w:rPr>
                <w:rFonts w:eastAsia="Times New Roman" w:cs="Arial"/>
                <w:b/>
                <w:sz w:val="18"/>
                <w:szCs w:val="18"/>
              </w:rPr>
              <w:t>Friday 24 July 2020</w:t>
            </w:r>
            <w:r>
              <w:rPr>
                <w:rFonts w:eastAsia="Times New Roman" w:cs="Arial"/>
                <w:sz w:val="18"/>
                <w:szCs w:val="18"/>
              </w:rPr>
              <w:t xml:space="preserve">  </w:t>
            </w:r>
          </w:p>
          <w:p>
            <w:pPr>
              <w:pStyle w:val="Normal"/>
              <w:tabs>
                <w:tab w:val="clear" w:pos="720"/>
                <w:tab w:val="left" w:pos="284" w:leader="none"/>
                <w:tab w:val="left" w:pos="709" w:leader="none"/>
              </w:tabs>
              <w:overflowPunct w:val="true"/>
              <w:spacing w:lineRule="auto" w:line="240" w:before="0" w:after="0"/>
              <w:ind w:left="360" w:hanging="0"/>
              <w:textAlignment w:val="baseline"/>
              <w:rPr>
                <w:rFonts w:eastAsia="Times New Roman" w:cs="Arial"/>
                <w:sz w:val="18"/>
                <w:szCs w:val="18"/>
              </w:rPr>
            </w:pPr>
            <w:r>
              <w:rPr>
                <w:rFonts w:eastAsia="Times New Roman" w:cs="Arial"/>
                <w:sz w:val="18"/>
                <w:szCs w:val="18"/>
              </w:rPr>
            </w:r>
          </w:p>
          <w:p>
            <w:pPr>
              <w:pStyle w:val="Normal"/>
              <w:overflowPunct w:val="true"/>
              <w:spacing w:lineRule="auto" w:line="240" w:before="0" w:after="0"/>
              <w:contextualSpacing/>
              <w:textAlignment w:val="baseline"/>
              <w:rPr>
                <w:rFonts w:eastAsia="Times New Roman" w:cs="Arial"/>
                <w:b/>
                <w:b/>
                <w:sz w:val="18"/>
                <w:szCs w:val="18"/>
              </w:rPr>
            </w:pPr>
            <w:r>
              <w:rPr>
                <w:rFonts w:eastAsia="Times New Roman" w:cs="Arial"/>
                <w:b/>
                <w:sz w:val="18"/>
                <w:szCs w:val="18"/>
              </w:rPr>
              <w:t>3. Local government electors and their representatives also have:</w:t>
            </w:r>
          </w:p>
          <w:p>
            <w:pPr>
              <w:pStyle w:val="Normal"/>
              <w:overflowPunct w:val="true"/>
              <w:spacing w:lineRule="auto" w:line="240" w:before="0" w:after="0"/>
              <w:textAlignment w:val="baseline"/>
              <w:rPr>
                <w:rFonts w:eastAsia="Times New Roman" w:cs="Arial"/>
                <w:b/>
                <w:b/>
                <w:sz w:val="18"/>
                <w:szCs w:val="18"/>
              </w:rPr>
            </w:pPr>
            <w:r>
              <w:rPr>
                <w:rFonts w:eastAsia="Times New Roman" w:cs="Arial"/>
                <w:b/>
                <w:sz w:val="18"/>
                <w:szCs w:val="18"/>
              </w:rPr>
            </w:r>
          </w:p>
          <w:p>
            <w:pPr>
              <w:pStyle w:val="Normal"/>
              <w:numPr>
                <w:ilvl w:val="0"/>
                <w:numId w:val="1"/>
              </w:numPr>
              <w:overflowPunct w:val="true"/>
              <w:spacing w:lineRule="auto" w:line="240" w:before="0" w:after="240"/>
              <w:ind w:left="714" w:hanging="357"/>
              <w:textAlignment w:val="baseline"/>
              <w:rPr>
                <w:rFonts w:eastAsia="Times New Roman" w:cs="Arial"/>
                <w:sz w:val="18"/>
                <w:szCs w:val="18"/>
              </w:rPr>
            </w:pPr>
            <w:r>
              <w:rPr>
                <w:rFonts w:eastAsia="Times New Roman" w:cs="Arial"/>
                <w:sz w:val="18"/>
                <w:szCs w:val="18"/>
              </w:rPr>
              <w:t>The opportunity to question the appointed auditor about the accounting records; and</w:t>
            </w:r>
          </w:p>
          <w:p>
            <w:pPr>
              <w:pStyle w:val="Normal"/>
              <w:numPr>
                <w:ilvl w:val="0"/>
                <w:numId w:val="1"/>
              </w:numPr>
              <w:overflowPunct w:val="true"/>
              <w:spacing w:lineRule="auto" w:line="240" w:before="0" w:after="0"/>
              <w:contextualSpacing/>
              <w:textAlignment w:val="baseline"/>
              <w:rPr>
                <w:rFonts w:eastAsia="Times New Roman" w:cs="Arial"/>
                <w:sz w:val="18"/>
                <w:szCs w:val="18"/>
              </w:rPr>
            </w:pPr>
            <w:r>
              <w:rPr>
                <w:rFonts w:eastAsia="Times New Roman" w:cs="Arial"/>
                <w:sz w:val="18"/>
                <w:szCs w:val="18"/>
              </w:rPr>
              <w:t>The right to make an objection which concerns a matter in respect of which the appointed auditor could either make a public interest report or apply to the court for a declaration that an item of account is unlawful. Written notice of an objection must first be given to the auditor and a copy sent to the smaller authority.</w:t>
            </w:r>
          </w:p>
          <w:p>
            <w:pPr>
              <w:pStyle w:val="Normal"/>
              <w:overflowPunct w:val="true"/>
              <w:spacing w:lineRule="auto" w:line="240" w:before="0" w:after="0"/>
              <w:ind w:left="720" w:hanging="0"/>
              <w:contextualSpacing/>
              <w:textAlignment w:val="baseline"/>
              <w:rPr>
                <w:rFonts w:eastAsia="Times New Roman" w:cs="Arial"/>
                <w:sz w:val="18"/>
                <w:szCs w:val="18"/>
              </w:rPr>
            </w:pPr>
            <w:r>
              <w:rPr>
                <w:rFonts w:eastAsia="Times New Roman" w:cs="Arial"/>
                <w:sz w:val="18"/>
                <w:szCs w:val="18"/>
              </w:rPr>
            </w:r>
          </w:p>
          <w:p>
            <w:pPr>
              <w:pStyle w:val="Normal"/>
              <w:overflowPunct w:val="true"/>
              <w:spacing w:lineRule="auto" w:line="240" w:before="0" w:after="0"/>
              <w:ind w:left="360" w:hanging="0"/>
              <w:contextualSpacing/>
              <w:textAlignment w:val="baseline"/>
              <w:rPr>
                <w:rFonts w:eastAsia="Times New Roman" w:cs="Arial"/>
                <w:sz w:val="18"/>
                <w:szCs w:val="18"/>
              </w:rPr>
            </w:pPr>
            <w:r>
              <w:rPr>
                <w:rFonts w:eastAsia="Times New Roman" w:cs="Arial"/>
                <w:sz w:val="18"/>
                <w:szCs w:val="18"/>
              </w:rPr>
              <w:t>The appointed auditor can be contacted at the address in paragraph 4 below for this purpose between the above dates only.</w:t>
            </w:r>
          </w:p>
          <w:p>
            <w:pPr>
              <w:pStyle w:val="Normal"/>
              <w:overflowPunct w:val="true"/>
              <w:spacing w:lineRule="auto" w:line="240" w:before="0" w:after="0"/>
              <w:ind w:left="360" w:hanging="0"/>
              <w:contextualSpacing/>
              <w:textAlignment w:val="baseline"/>
              <w:rPr>
                <w:rFonts w:eastAsia="Times New Roman" w:cs="Arial"/>
                <w:sz w:val="18"/>
                <w:szCs w:val="18"/>
              </w:rPr>
            </w:pPr>
            <w:r>
              <w:rPr>
                <w:rFonts w:eastAsia="Times New Roman" w:cs="Arial"/>
                <w:sz w:val="18"/>
                <w:szCs w:val="18"/>
              </w:rPr>
            </w:r>
          </w:p>
          <w:p>
            <w:pPr>
              <w:pStyle w:val="Normal"/>
              <w:overflowPunct w:val="true"/>
              <w:spacing w:lineRule="auto" w:line="240" w:before="0" w:after="0"/>
              <w:contextualSpacing/>
              <w:textAlignment w:val="baseline"/>
              <w:rPr>
                <w:rFonts w:eastAsia="Times New Roman" w:cs="Arial"/>
                <w:sz w:val="18"/>
                <w:szCs w:val="18"/>
              </w:rPr>
            </w:pPr>
            <w:r>
              <w:rPr>
                <w:rFonts w:eastAsia="Times New Roman" w:cs="Arial"/>
                <w:b/>
                <w:sz w:val="18"/>
                <w:szCs w:val="18"/>
              </w:rPr>
              <w:t>4. The smaller authority’s AGAR is subject to review by the appointed auditor under the provisions of the Local Audit and Accountability Act 2014, the Accounts and Audit Regulations 2015 and the NAO’s Code of Audit Practice 2015.  The appointed auditor is:</w:t>
            </w:r>
          </w:p>
          <w:p>
            <w:pPr>
              <w:pStyle w:val="Normal"/>
              <w:overflowPunct w:val="true"/>
              <w:spacing w:lineRule="auto" w:line="240" w:before="0" w:after="0"/>
              <w:ind w:left="360" w:hanging="0"/>
              <w:contextualSpacing/>
              <w:textAlignment w:val="baseline"/>
              <w:rPr>
                <w:rFonts w:eastAsia="Times New Roman" w:cs="Arial"/>
                <w:sz w:val="18"/>
                <w:szCs w:val="18"/>
              </w:rPr>
            </w:pPr>
            <w:r>
              <w:rPr>
                <w:rFonts w:eastAsia="Times New Roman" w:cs="Arial"/>
                <w:sz w:val="18"/>
                <w:szCs w:val="18"/>
              </w:rPr>
            </w:r>
          </w:p>
          <w:p>
            <w:pPr>
              <w:pStyle w:val="Normal"/>
              <w:tabs>
                <w:tab w:val="clear" w:pos="720"/>
                <w:tab w:val="left" w:pos="1393" w:leader="none"/>
              </w:tabs>
              <w:overflowPunct w:val="true"/>
              <w:spacing w:lineRule="auto" w:line="240" w:before="0" w:after="0"/>
              <w:ind w:left="360" w:hanging="0"/>
              <w:contextualSpacing/>
              <w:textAlignment w:val="baseline"/>
              <w:rPr>
                <w:rFonts w:eastAsia="Times New Roman" w:cs="Arial"/>
                <w:b/>
                <w:b/>
                <w:sz w:val="18"/>
                <w:szCs w:val="18"/>
              </w:rPr>
            </w:pPr>
            <w:r>
              <w:rPr>
                <w:rFonts w:eastAsia="Times New Roman" w:cs="Arial"/>
                <w:b/>
                <w:sz w:val="18"/>
                <w:szCs w:val="18"/>
              </w:rPr>
              <w:t>PKF Littlejohn LLP (Ref: SBA Team)</w:t>
            </w:r>
          </w:p>
          <w:p>
            <w:pPr>
              <w:pStyle w:val="Normal"/>
              <w:tabs>
                <w:tab w:val="clear" w:pos="720"/>
                <w:tab w:val="left" w:pos="1393" w:leader="none"/>
              </w:tabs>
              <w:overflowPunct w:val="true"/>
              <w:spacing w:lineRule="auto" w:line="240" w:before="0" w:after="0"/>
              <w:ind w:left="360" w:hanging="0"/>
              <w:contextualSpacing/>
              <w:textAlignment w:val="baseline"/>
              <w:rPr>
                <w:rFonts w:eastAsia="Times New Roman" w:cs="Arial"/>
                <w:b/>
                <w:b/>
                <w:sz w:val="18"/>
                <w:szCs w:val="18"/>
              </w:rPr>
            </w:pPr>
            <w:r>
              <w:rPr>
                <w:rFonts w:eastAsia="Times New Roman" w:cs="Arial"/>
                <w:b/>
                <w:sz w:val="18"/>
                <w:szCs w:val="18"/>
              </w:rPr>
              <w:t>15 Westferry Circus</w:t>
            </w:r>
          </w:p>
          <w:p>
            <w:pPr>
              <w:pStyle w:val="Normal"/>
              <w:tabs>
                <w:tab w:val="clear" w:pos="720"/>
                <w:tab w:val="left" w:pos="1393" w:leader="none"/>
              </w:tabs>
              <w:overflowPunct w:val="true"/>
              <w:spacing w:lineRule="auto" w:line="240" w:before="0" w:after="0"/>
              <w:ind w:left="360" w:hanging="0"/>
              <w:contextualSpacing/>
              <w:textAlignment w:val="baseline"/>
              <w:rPr>
                <w:rFonts w:eastAsia="Times New Roman" w:cs="Arial"/>
                <w:b/>
                <w:b/>
                <w:sz w:val="18"/>
                <w:szCs w:val="18"/>
              </w:rPr>
            </w:pPr>
            <w:r>
              <w:rPr>
                <w:rFonts w:eastAsia="Times New Roman" w:cs="Arial"/>
                <w:b/>
                <w:sz w:val="18"/>
                <w:szCs w:val="18"/>
              </w:rPr>
              <w:t>Canary Wharf</w:t>
            </w:r>
          </w:p>
          <w:p>
            <w:pPr>
              <w:pStyle w:val="Normal"/>
              <w:tabs>
                <w:tab w:val="clear" w:pos="720"/>
                <w:tab w:val="left" w:pos="1393" w:leader="none"/>
              </w:tabs>
              <w:overflowPunct w:val="true"/>
              <w:spacing w:lineRule="auto" w:line="240" w:before="0" w:after="0"/>
              <w:ind w:left="360" w:hanging="0"/>
              <w:contextualSpacing/>
              <w:textAlignment w:val="baseline"/>
              <w:rPr>
                <w:rFonts w:eastAsia="Times New Roman" w:cs="Arial"/>
                <w:b/>
                <w:b/>
                <w:color w:val="000000" w:themeColor="text1"/>
                <w:sz w:val="18"/>
                <w:szCs w:val="18"/>
              </w:rPr>
            </w:pPr>
            <w:r>
              <w:rPr>
                <w:rFonts w:eastAsia="Times New Roman" w:cs="Arial"/>
                <w:b/>
                <w:color w:val="000000" w:themeColor="text1"/>
                <w:sz w:val="18"/>
                <w:szCs w:val="18"/>
              </w:rPr>
              <w:t>London E14 4HD</w:t>
            </w:r>
          </w:p>
          <w:p>
            <w:pPr>
              <w:pStyle w:val="Normal"/>
              <w:tabs>
                <w:tab w:val="clear" w:pos="720"/>
                <w:tab w:val="left" w:pos="1393" w:leader="none"/>
              </w:tabs>
              <w:overflowPunct w:val="true"/>
              <w:spacing w:lineRule="auto" w:line="240" w:before="0" w:after="0"/>
              <w:ind w:left="360" w:hanging="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t>(</w:t>
            </w:r>
            <w:hyperlink r:id="rId5">
              <w:r>
                <w:rPr>
                  <w:rFonts w:eastAsia="Times New Roman" w:cs="Arial"/>
                  <w:color w:val="000000" w:themeColor="text1"/>
                  <w:sz w:val="18"/>
                  <w:u w:val="single"/>
                </w:rPr>
                <w:t>sba@pkf-littlejohn.com</w:t>
              </w:r>
            </w:hyperlink>
            <w:r>
              <w:rPr>
                <w:rFonts w:eastAsia="Times New Roman" w:cs="Arial"/>
                <w:color w:val="000000" w:themeColor="text1"/>
                <w:sz w:val="18"/>
                <w:szCs w:val="18"/>
              </w:rPr>
              <w:t>)</w:t>
            </w:r>
          </w:p>
          <w:p>
            <w:pPr>
              <w:pStyle w:val="Normal"/>
              <w:tabs>
                <w:tab w:val="clear" w:pos="720"/>
                <w:tab w:val="left" w:pos="1393" w:leader="none"/>
              </w:tabs>
              <w:overflowPunct w:val="true"/>
              <w:spacing w:lineRule="auto" w:line="240" w:before="0" w:after="0"/>
              <w:ind w:left="360" w:hanging="0"/>
              <w:contextualSpacing/>
              <w:textAlignment w:val="baseline"/>
              <w:rPr>
                <w:rFonts w:eastAsia="Times New Roman" w:cs="Arial"/>
                <w:color w:val="000000" w:themeColor="text1"/>
                <w:sz w:val="18"/>
                <w:szCs w:val="18"/>
              </w:rPr>
            </w:pPr>
            <w:r>
              <w:rPr>
                <w:rFonts w:eastAsia="Times New Roman" w:cs="Arial"/>
                <w:color w:val="000000" w:themeColor="text1"/>
                <w:sz w:val="18"/>
                <w:szCs w:val="18"/>
              </w:rPr>
            </w:r>
          </w:p>
          <w:p>
            <w:pPr>
              <w:pStyle w:val="Normal"/>
              <w:overflowPunct w:val="true"/>
              <w:spacing w:lineRule="auto" w:line="240" w:before="0" w:after="0"/>
              <w:contextualSpacing/>
              <w:jc w:val="left"/>
              <w:textAlignment w:val="baseline"/>
              <w:rPr>
                <w:rFonts w:eastAsia="Times New Roman" w:cs="Arial"/>
                <w:sz w:val="18"/>
                <w:szCs w:val="18"/>
              </w:rPr>
            </w:pPr>
            <w:r>
              <w:rPr>
                <w:rFonts w:eastAsia="Times New Roman" w:cs="Arial"/>
                <w:b/>
                <w:sz w:val="18"/>
                <w:szCs w:val="18"/>
              </w:rPr>
              <w:t xml:space="preserve">5. This announcement is made by (e) </w:t>
            </w:r>
            <w:r>
              <w:rPr>
                <w:rFonts w:eastAsia="Times New Roman" w:cs="Arial"/>
                <w:b/>
                <w:bCs/>
                <w:sz w:val="18"/>
                <w:szCs w:val="18"/>
              </w:rPr>
              <w:t>Trevor Grant Clerk/RFO</w:t>
            </w:r>
          </w:p>
          <w:p>
            <w:pPr>
              <w:pStyle w:val="Normal"/>
              <w:overflowPunct w:val="true"/>
              <w:spacing w:lineRule="auto" w:line="240" w:before="0" w:after="0"/>
              <w:textAlignment w:val="baseline"/>
              <w:rPr>
                <w:rFonts w:eastAsia="Times New Roman" w:cs="Arial"/>
                <w:b/>
                <w:b/>
                <w:sz w:val="20"/>
                <w:szCs w:val="20"/>
              </w:rPr>
            </w:pPr>
            <w:r>
              <w:rPr>
                <w:rFonts w:eastAsia="Times New Roman" w:cs="Arial"/>
                <w:b/>
                <w:sz w:val="20"/>
                <w:szCs w:val="20"/>
              </w:rPr>
            </w:r>
          </w:p>
        </w:tc>
        <w:tc>
          <w:tcPr>
            <w:tcW w:w="3119" w:type="dxa"/>
            <w:tcBorders>
              <w:top w:val="single" w:sz="4" w:space="0" w:color="000000"/>
              <w:left w:val="single" w:sz="4" w:space="0" w:color="000000"/>
              <w:bottom w:val="single" w:sz="4" w:space="0" w:color="000000"/>
              <w:right w:val="single" w:sz="4" w:space="0" w:color="000000"/>
            </w:tcBorders>
          </w:tcPr>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ind w:left="18" w:hanging="0"/>
              <w:textAlignment w:val="baseline"/>
              <w:rPr>
                <w:rFonts w:eastAsia="Times New Roman" w:cs="Arial"/>
                <w:sz w:val="16"/>
                <w:szCs w:val="16"/>
              </w:rPr>
            </w:pPr>
            <w:r>
              <w:rPr>
                <w:rFonts w:eastAsia="Times New Roman" w:cs="Arial"/>
                <w:sz w:val="16"/>
                <w:szCs w:val="16"/>
              </w:rPr>
              <w:t>(a) Insert date of placing of the notice which must be not less than 1 day before the date in (c) below</w:t>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ind w:left="357" w:hanging="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t>(b) Insert name, position and address/telephone number/ email address, as appropriate, of the Clerk or other person to which any person may apply to inspect the accounts</w:t>
            </w:r>
          </w:p>
          <w:p>
            <w:pPr>
              <w:pStyle w:val="Normal"/>
              <w:overflowPunct w:val="true"/>
              <w:spacing w:lineRule="auto" w:line="240" w:before="0" w:after="0"/>
              <w:ind w:left="357" w:hanging="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t>(c) Insert date, which must be at least 1 day after the date of announcement in (a) above and at least 30 working days before the date appointed in (d) below</w:t>
            </w:r>
          </w:p>
          <w:p>
            <w:pPr>
              <w:pStyle w:val="Normal"/>
              <w:overflowPunct w:val="true"/>
              <w:spacing w:lineRule="auto" w:line="240" w:before="0" w:after="0"/>
              <w:ind w:left="357" w:hanging="0"/>
              <w:textAlignment w:val="baseline"/>
              <w:rPr>
                <w:rFonts w:eastAsia="Times New Roman" w:cs="Arial"/>
                <w:sz w:val="14"/>
                <w:szCs w:val="14"/>
              </w:rPr>
            </w:pPr>
            <w:r>
              <w:rPr>
                <w:rFonts w:eastAsia="Times New Roman" w:cs="Arial"/>
                <w:sz w:val="14"/>
                <w:szCs w:val="14"/>
              </w:rPr>
            </w:r>
          </w:p>
          <w:p>
            <w:pPr>
              <w:pStyle w:val="Normal"/>
              <w:overflowPunct w:val="true"/>
              <w:spacing w:lineRule="auto" w:line="240" w:before="0" w:after="0"/>
              <w:ind w:left="18" w:hanging="0"/>
              <w:contextualSpacing/>
              <w:textAlignment w:val="baseline"/>
              <w:rPr>
                <w:rFonts w:eastAsia="Times New Roman" w:cs="Arial"/>
                <w:sz w:val="16"/>
                <w:szCs w:val="16"/>
              </w:rPr>
            </w:pPr>
            <w:r>
              <w:rPr>
                <w:rFonts w:eastAsia="Times New Roman" w:cs="Arial"/>
                <w:sz w:val="16"/>
                <w:szCs w:val="16"/>
              </w:rPr>
              <w:t>(d) The inspection period between (c) and (d) must be 30 working days inclusive and must start on or before 1 September 2020.</w:t>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textAlignment w:val="baseline"/>
              <w:rPr>
                <w:rFonts w:eastAsia="Times New Roman" w:cs="Arial"/>
                <w:sz w:val="19"/>
                <w:szCs w:val="19"/>
              </w:rPr>
            </w:pPr>
            <w:r>
              <w:rPr>
                <w:rFonts w:eastAsia="Times New Roman" w:cs="Arial"/>
                <w:sz w:val="19"/>
                <w:szCs w:val="19"/>
              </w:rPr>
            </w:r>
          </w:p>
          <w:p>
            <w:pPr>
              <w:pStyle w:val="Normal"/>
              <w:overflowPunct w:val="true"/>
              <w:spacing w:lineRule="auto" w:line="240" w:before="0" w:after="0"/>
              <w:ind w:left="18" w:hanging="0"/>
              <w:contextualSpacing/>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ind w:left="360" w:hanging="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ind w:left="18" w:hanging="0"/>
              <w:contextualSpacing/>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ind w:left="18" w:hanging="0"/>
              <w:contextualSpacing/>
              <w:textAlignment w:val="baseline"/>
              <w:rPr>
                <w:rFonts w:eastAsia="Times New Roman" w:cs="Arial"/>
                <w:sz w:val="16"/>
                <w:szCs w:val="16"/>
              </w:rPr>
            </w:pPr>
            <w:r>
              <w:rPr>
                <w:rFonts w:eastAsia="Times New Roman" w:cs="Arial"/>
                <w:sz w:val="16"/>
                <w:szCs w:val="16"/>
              </w:rPr>
            </w:r>
          </w:p>
          <w:p>
            <w:pPr>
              <w:pStyle w:val="Normal"/>
              <w:overflowPunct w:val="true"/>
              <w:spacing w:lineRule="auto" w:line="240" w:before="0" w:after="0"/>
              <w:ind w:left="18" w:hanging="0"/>
              <w:contextualSpacing/>
              <w:textAlignment w:val="baseline"/>
              <w:rPr>
                <w:rFonts w:eastAsia="Times New Roman" w:cs="Arial"/>
                <w:sz w:val="18"/>
                <w:szCs w:val="18"/>
              </w:rPr>
            </w:pPr>
            <w:r>
              <w:rPr>
                <w:rFonts w:eastAsia="Times New Roman" w:cs="Arial"/>
                <w:sz w:val="16"/>
                <w:szCs w:val="16"/>
              </w:rPr>
              <w:t>(e) Insert name and position of person placing the notice – this person must be the responsible financial officer for the smaller authority</w:t>
            </w:r>
          </w:p>
        </w:tc>
      </w:tr>
    </w:tbl>
    <w:p>
      <w:pPr>
        <w:pStyle w:val="Normal"/>
        <w:jc w:val="left"/>
        <w:rPr/>
      </w:pPr>
      <w:r>
        <w:rPr/>
      </w:r>
    </w:p>
    <w:p>
      <w:pPr>
        <w:pStyle w:val="Normal"/>
        <w:overflowPunct w:val="true"/>
        <w:spacing w:lineRule="auto" w:line="240" w:before="0" w:after="0"/>
        <w:jc w:val="center"/>
        <w:textAlignment w:val="baseline"/>
        <w:rPr>
          <w:rFonts w:eastAsia="Times New Roman" w:cs="Arial"/>
          <w:b/>
          <w:b/>
          <w:sz w:val="20"/>
          <w:szCs w:val="20"/>
        </w:rPr>
      </w:pPr>
      <w:r>
        <w:rPr>
          <w:rFonts w:eastAsia="Times New Roman" w:cs="Arial"/>
          <w:b/>
          <w:sz w:val="20"/>
          <w:szCs w:val="20"/>
        </w:rPr>
        <w:t>LOCAL AUTHORITY ACCOUNTS: A SUMMARY OF YOUR RIGHTS</w:t>
      </w:r>
    </w:p>
    <w:p>
      <w:pPr>
        <w:pStyle w:val="Normal"/>
        <w:overflowPunct w:val="true"/>
        <w:spacing w:lineRule="auto" w:line="240" w:before="0" w:after="0"/>
        <w:jc w:val="center"/>
        <w:textAlignment w:val="baseline"/>
        <w:rPr>
          <w:rFonts w:eastAsia="Times New Roman" w:cs="Arial"/>
          <w:b/>
          <w:b/>
          <w:sz w:val="20"/>
          <w:szCs w:val="20"/>
        </w:rPr>
      </w:pPr>
      <w:r>
        <w:rPr>
          <w:rFonts w:eastAsia="Times New Roman" w:cs="Arial"/>
          <w:b/>
          <w:sz w:val="20"/>
          <w:szCs w:val="20"/>
        </w:rPr>
      </w:r>
    </w:p>
    <w:p>
      <w:pPr>
        <w:pStyle w:val="Normal"/>
        <w:overflowPunct w:val="true"/>
        <w:spacing w:lineRule="auto" w:line="240" w:before="0" w:after="0"/>
        <w:textAlignment w:val="baseline"/>
        <w:rPr>
          <w:rFonts w:eastAsia="Times New Roman" w:cs="Arial"/>
          <w:b/>
          <w:b/>
          <w:sz w:val="20"/>
          <w:szCs w:val="20"/>
        </w:rPr>
      </w:pPr>
      <w:r>
        <w:rPr>
          <w:rFonts w:eastAsia="Times New Roman" w:cs="Arial"/>
          <w:b/>
          <w:sz w:val="20"/>
          <w:szCs w:val="20"/>
        </w:rPr>
        <w:t>Please note that this summary applies to all relevant smaller authorities, including local councils, internal drainage boards and ‘other’ smaller authorities.</w:t>
      </w:r>
    </w:p>
    <w:p>
      <w:pPr>
        <w:pStyle w:val="Normal"/>
        <w:overflowPunct w:val="true"/>
        <w:spacing w:lineRule="auto" w:line="240" w:before="0" w:after="0"/>
        <w:jc w:val="left"/>
        <w:textAlignment w:val="baseline"/>
        <w:rPr>
          <w:rFonts w:eastAsia="Times New Roman" w:cs="Arial"/>
          <w:b/>
          <w:b/>
          <w:sz w:val="20"/>
          <w:szCs w:val="20"/>
        </w:rPr>
      </w:pPr>
      <w:r>
        <w:rPr>
          <w:rFonts w:eastAsia="Times New Roman" w:cs="Arial"/>
          <w:b/>
          <w:sz w:val="20"/>
          <w:szCs w:val="20"/>
        </w:rPr>
      </w:r>
    </w:p>
    <w:p>
      <w:pPr>
        <w:pStyle w:val="Normal"/>
        <w:overflowPunct w:val="true"/>
        <w:spacing w:lineRule="auto" w:line="240" w:before="0" w:after="0"/>
        <w:jc w:val="left"/>
        <w:textAlignment w:val="baseline"/>
        <w:rPr>
          <w:rFonts w:eastAsia="Times New Roman" w:cs="Arial"/>
          <w:b/>
          <w:b/>
          <w:sz w:val="20"/>
          <w:szCs w:val="20"/>
        </w:rPr>
      </w:pPr>
      <w:r>
        <w:rPr>
          <w:rFonts w:eastAsia="Times New Roman" w:cs="Arial"/>
          <w:b/>
          <w:sz w:val="20"/>
          <w:szCs w:val="20"/>
        </w:rPr>
        <w:t>The basic position</w:t>
      </w:r>
    </w:p>
    <w:p>
      <w:pPr>
        <w:pStyle w:val="Normal"/>
        <w:overflowPunct w:val="true"/>
        <w:spacing w:lineRule="auto" w:line="240" w:before="0" w:after="0"/>
        <w:jc w:val="left"/>
        <w:textAlignment w:val="baseline"/>
        <w:rPr>
          <w:rFonts w:eastAsia="Times New Roman" w:cs="Arial"/>
          <w:sz w:val="20"/>
          <w:szCs w:val="20"/>
        </w:rPr>
      </w:pPr>
      <w:r>
        <w:rPr>
          <w:rFonts w:eastAsia="Times New Roman" w:cs="Arial"/>
          <w:sz w:val="20"/>
          <w:szCs w:val="20"/>
        </w:rPr>
      </w:r>
    </w:p>
    <w:p>
      <w:pPr>
        <w:pStyle w:val="Normal"/>
        <w:spacing w:lineRule="auto" w:line="240"/>
        <w:rPr>
          <w:rFonts w:eastAsia="Times New Roman" w:cs="Arial"/>
          <w:sz w:val="20"/>
          <w:szCs w:val="20"/>
        </w:rPr>
      </w:pPr>
      <w:r>
        <w:rPr>
          <w:rFonts w:eastAsia="Times New Roman" w:cs="Arial"/>
          <w:sz w:val="20"/>
          <w:szCs w:val="20"/>
        </w:rPr>
        <w:t xml:space="preserve">The </w:t>
      </w:r>
      <w:hyperlink r:id="rId6">
        <w:r>
          <w:rPr>
            <w:rStyle w:val="InternetLink"/>
            <w:rFonts w:eastAsia="Times New Roman" w:cs="Arial"/>
            <w:sz w:val="20"/>
            <w:szCs w:val="20"/>
          </w:rPr>
          <w:t>Local Audit and Accountability Act 2014</w:t>
        </w:r>
      </w:hyperlink>
      <w:r>
        <w:rPr>
          <w:rFonts w:eastAsia="Times New Roman" w:cs="Arial"/>
          <w:sz w:val="20"/>
          <w:szCs w:val="20"/>
        </w:rPr>
        <w:t xml:space="preserve"> (the Act) governs the work of auditors appointed to smaller authorities. This summary explains the provisions contained in Sections 26 and 27 of the Act. The Act, the </w:t>
      </w:r>
      <w:hyperlink r:id="rId7">
        <w:r>
          <w:rPr>
            <w:rStyle w:val="InternetLink"/>
            <w:rFonts w:eastAsia="Times New Roman" w:cs="Arial"/>
            <w:sz w:val="20"/>
            <w:szCs w:val="20"/>
          </w:rPr>
          <w:t>Accounts and Audit Regulations 2015</w:t>
        </w:r>
      </w:hyperlink>
      <w:r>
        <w:rPr>
          <w:rFonts w:eastAsia="Times New Roman" w:cs="Arial"/>
          <w:sz w:val="20"/>
          <w:szCs w:val="20"/>
        </w:rPr>
        <w:t xml:space="preserve"> and the </w:t>
      </w:r>
      <w:hyperlink r:id="rId8">
        <w:r>
          <w:rPr>
            <w:rStyle w:val="InternetLink"/>
            <w:rFonts w:eastAsia="Times New Roman" w:cs="Arial"/>
            <w:sz w:val="20"/>
            <w:szCs w:val="20"/>
          </w:rPr>
          <w:t>Accounts and Audit (Coronavirus) (Amendment) Regulations 2020</w:t>
        </w:r>
      </w:hyperlink>
      <w:r>
        <w:rPr>
          <w:rFonts w:eastAsia="Times New Roman" w:cs="Arial"/>
          <w:sz w:val="20"/>
          <w:szCs w:val="20"/>
        </w:rPr>
        <w:t xml:space="preserve"> also cover the duties, responsibilities and rights of smaller authorities, other organisations and the public concerning the accounts being audited. </w:t>
      </w:r>
    </w:p>
    <w:p>
      <w:pPr>
        <w:pStyle w:val="Normal"/>
        <w:spacing w:lineRule="auto" w:line="240"/>
        <w:rPr>
          <w:rFonts w:eastAsia="Times New Roman" w:cs="Arial"/>
          <w:sz w:val="20"/>
          <w:szCs w:val="20"/>
        </w:rPr>
      </w:pPr>
      <w:r>
        <w:rPr>
          <w:rFonts w:eastAsia="Times New Roman" w:cs="Arial"/>
          <w:sz w:val="20"/>
          <w:szCs w:val="20"/>
        </w:rPr>
        <w:t>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smaller authority form part of its running costs. Therefore, indirectly, local residents pay for the cost of you exercising your rights through their council tax.</w:t>
      </w:r>
    </w:p>
    <w:p>
      <w:pPr>
        <w:pStyle w:val="Normal"/>
        <w:overflowPunct w:val="true"/>
        <w:spacing w:lineRule="auto" w:line="240" w:before="0" w:after="0"/>
        <w:textAlignment w:val="baseline"/>
        <w:rPr>
          <w:rFonts w:eastAsia="Times New Roman" w:cs="Arial"/>
          <w:sz w:val="20"/>
          <w:szCs w:val="20"/>
        </w:rPr>
      </w:pPr>
      <w:r>
        <w:rPr>
          <w:rFonts w:eastAsia="Times New Roman" w:cs="Arial"/>
          <w:b/>
          <w:sz w:val="20"/>
          <w:szCs w:val="20"/>
        </w:rPr>
        <w:t>The right to inspect the accounting records</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t xml:space="preserve">When smaller authorities have finished preparing accounts for the financial year and approved them, they must publish them (including on a website). There must be a 30 working day period, called the ‘period for the exercise of public rights’, during which you can exercise your statutory right to inspect the accounting records. Smaller authorities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w:t>
      </w:r>
      <w:r>
        <w:rPr>
          <w:rFonts w:eastAsia="Times New Roman" w:cs="Arial"/>
          <w:b/>
          <w:bCs/>
          <w:sz w:val="20"/>
          <w:szCs w:val="20"/>
        </w:rPr>
        <w:t>Legislative changes have been made as a result of the restrictions imposed by the Coronavirus for the 2019/20 reporting year which mean that there is no requirement for a common period for public rights.  The period for the exercise of public rights must however commence on or before 1 September 2020.</w:t>
      </w:r>
      <w:r>
        <w:rPr>
          <w:rFonts w:eastAsia="Times New Roman" w:cs="Arial"/>
          <w:sz w:val="20"/>
          <w:szCs w:val="20"/>
        </w:rPr>
        <w:t xml:space="preserve"> The advertisement must set out the dates of the period for the exercise of public rights, how you can communicate to the smaller authority that you wish to inspect the accounting records and related documents, the name and address of the auditor, and the relevant legislation that governs the inspection of accounts and objections. </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b/>
          <w:b/>
          <w:sz w:val="20"/>
          <w:szCs w:val="20"/>
        </w:rPr>
      </w:pPr>
      <w:r>
        <w:rPr>
          <w:rFonts w:eastAsia="Times New Roman" w:cs="Arial"/>
          <w:b/>
          <w:sz w:val="20"/>
          <w:szCs w:val="20"/>
        </w:rPr>
        <w:t>The right to ask the auditor questions about the accounting records</w:t>
      </w:r>
    </w:p>
    <w:p>
      <w:pPr>
        <w:pStyle w:val="Normal"/>
        <w:overflowPunct w:val="true"/>
        <w:spacing w:lineRule="auto" w:line="240" w:before="0" w:after="0"/>
        <w:textAlignment w:val="baseline"/>
        <w:rPr>
          <w:rFonts w:eastAsia="Times New Roman" w:cs="Arial"/>
          <w:b/>
          <w:b/>
          <w:sz w:val="20"/>
          <w:szCs w:val="20"/>
        </w:rPr>
      </w:pPr>
      <w:r>
        <w:rPr>
          <w:rFonts w:eastAsia="Times New Roman" w:cs="Arial"/>
          <w:b/>
          <w:sz w:val="20"/>
          <w:szCs w:val="20"/>
        </w:rPr>
      </w:r>
    </w:p>
    <w:p>
      <w:pPr>
        <w:pStyle w:val="Normal"/>
        <w:spacing w:lineRule="auto" w:line="240"/>
        <w:rPr>
          <w:rFonts w:eastAsia="Times New Roman" w:cs="Arial"/>
          <w:sz w:val="20"/>
          <w:szCs w:val="20"/>
        </w:rPr>
      </w:pPr>
      <w:r>
        <w:rPr>
          <w:rFonts w:eastAsia="Times New Roman" w:cs="Arial"/>
          <w:b/>
          <w:sz w:val="20"/>
          <w:szCs w:val="20"/>
        </w:rPr>
        <w:t>You should first ask your smaller authority</w:t>
      </w:r>
      <w:r>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smaller authority the opportunity first to explain anything in the accounting records that you are unsure about. If you are not satisfied with their explanation, you can question the external auditor about the accounting records. </w:t>
      </w:r>
    </w:p>
    <w:p>
      <w:pPr>
        <w:pStyle w:val="Normal"/>
        <w:spacing w:lineRule="auto" w:line="240"/>
        <w:rPr>
          <w:rFonts w:eastAsia="Times New Roman" w:cs="Arial"/>
          <w:sz w:val="20"/>
          <w:szCs w:val="20"/>
        </w:rPr>
      </w:pPr>
      <w:r>
        <w:rPr>
          <w:rFonts w:eastAsia="Times New Roman" w:cs="Arial"/>
          <w:sz w:val="20"/>
          <w:szCs w:val="20"/>
        </w:rPr>
        <w:t xml:space="preserve">The law limits the time available for you formally to ask questions. This must be done in the period for the exercise of public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pPr>
        <w:pStyle w:val="Normal"/>
        <w:spacing w:lineRule="auto" w:line="240"/>
        <w:rPr>
          <w:rFonts w:eastAsia="Times New Roman" w:cs="Arial"/>
          <w:sz w:val="20"/>
          <w:szCs w:val="20"/>
        </w:rPr>
      </w:pPr>
      <w:r>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smaller authority other questions about their accounts for any year, at any time. But these are not questions under the Act. </w:t>
      </w:r>
    </w:p>
    <w:p>
      <w:pPr>
        <w:pStyle w:val="Normal"/>
        <w:spacing w:lineRule="auto" w:line="240"/>
        <w:rPr>
          <w:rFonts w:eastAsia="Times New Roman" w:cs="Arial"/>
          <w:sz w:val="20"/>
          <w:szCs w:val="20"/>
        </w:rPr>
      </w:pPr>
      <w:r>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pPr>
        <w:pStyle w:val="Normal"/>
        <w:overflowPunct w:val="true"/>
        <w:spacing w:lineRule="auto" w:line="240" w:before="0" w:after="0"/>
        <w:textAlignment w:val="baseline"/>
        <w:rPr>
          <w:rFonts w:eastAsia="Times New Roman" w:cs="Arial"/>
          <w:sz w:val="20"/>
          <w:szCs w:val="20"/>
        </w:rPr>
      </w:pPr>
      <w:r>
        <w:rPr>
          <w:rFonts w:eastAsia="Times New Roman" w:cs="Arial"/>
          <w:b/>
          <w:sz w:val="20"/>
          <w:szCs w:val="20"/>
        </w:rPr>
        <w:t>The right to make objections at audit</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spacing w:lineRule="auto" w:line="240" w:before="0" w:after="0"/>
        <w:rPr>
          <w:rFonts w:eastAsia="Times New Roman" w:cs="Arial"/>
          <w:sz w:val="20"/>
          <w:szCs w:val="20"/>
        </w:rPr>
      </w:pPr>
      <w:r>
        <w:rPr>
          <w:rFonts w:eastAsia="Times New Roman" w:cs="Arial"/>
          <w:sz w:val="20"/>
          <w:szCs w:val="20"/>
        </w:rPr>
        <w:t>You have inspected the accounting records and asked your questions of the smaller authority. Now you may wish to object to the accounts on the basis that an item in them is in your view unlawful or there are matters of wider concern arising from the smaller authority’s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make it unlawful. To object to the accounts you must write to the external auditor stating you want to make an objection, including the information and evidence below and you must send a copy to the smaller authority. The notice must include:</w:t>
      </w:r>
    </w:p>
    <w:p>
      <w:pPr>
        <w:pStyle w:val="Normal"/>
        <w:spacing w:lineRule="auto" w:line="240" w:before="0" w:after="0"/>
        <w:rPr>
          <w:rFonts w:eastAsia="Times New Roman" w:cs="Arial"/>
          <w:sz w:val="20"/>
          <w:szCs w:val="20"/>
        </w:rPr>
      </w:pPr>
      <w:r>
        <w:rPr>
          <w:rFonts w:eastAsia="Times New Roman" w:cs="Arial"/>
          <w:sz w:val="20"/>
          <w:szCs w:val="20"/>
        </w:rPr>
      </w:r>
    </w:p>
    <w:p>
      <w:pPr>
        <w:pStyle w:val="ListParagraph"/>
        <w:numPr>
          <w:ilvl w:val="0"/>
          <w:numId w:val="1"/>
        </w:numPr>
        <w:rPr>
          <w:sz w:val="20"/>
        </w:rPr>
      </w:pPr>
      <w:r>
        <w:rPr>
          <w:sz w:val="20"/>
        </w:rPr>
        <w:t>confirmation that you are an elector in the smaller authority’s area;</w:t>
      </w:r>
    </w:p>
    <w:p>
      <w:pPr>
        <w:pStyle w:val="ListParagraph"/>
        <w:numPr>
          <w:ilvl w:val="0"/>
          <w:numId w:val="1"/>
        </w:numPr>
        <w:rPr>
          <w:sz w:val="20"/>
        </w:rPr>
      </w:pPr>
      <w:r>
        <w:rPr>
          <w:sz w:val="20"/>
        </w:rPr>
        <w:t>why you are objecting to the accounts and the facts on which you rely;</w:t>
      </w:r>
    </w:p>
    <w:p>
      <w:pPr>
        <w:pStyle w:val="ListParagraph"/>
        <w:numPr>
          <w:ilvl w:val="0"/>
          <w:numId w:val="1"/>
        </w:numPr>
        <w:rPr>
          <w:sz w:val="20"/>
        </w:rPr>
      </w:pPr>
      <w:r>
        <w:rPr>
          <w:sz w:val="20"/>
        </w:rPr>
        <w:t>details of any item in the accounts that you think is unlawful; and</w:t>
      </w:r>
    </w:p>
    <w:p>
      <w:pPr>
        <w:pStyle w:val="ListParagraph"/>
        <w:numPr>
          <w:ilvl w:val="0"/>
          <w:numId w:val="1"/>
        </w:numPr>
        <w:rPr>
          <w:sz w:val="20"/>
        </w:rPr>
      </w:pPr>
      <w:r>
        <w:rPr>
          <w:sz w:val="20"/>
        </w:rPr>
        <w:t>details of any matter about which you think the external auditor should make a public interest report.</w:t>
      </w:r>
    </w:p>
    <w:p>
      <w:pPr>
        <w:pStyle w:val="Normal"/>
        <w:spacing w:lineRule="auto" w:line="240" w:before="0" w:after="0"/>
        <w:rPr>
          <w:rFonts w:eastAsia="Times New Roman" w:cs="Arial"/>
          <w:sz w:val="20"/>
          <w:szCs w:val="20"/>
        </w:rPr>
      </w:pPr>
      <w:r>
        <w:rPr>
          <w:rFonts w:eastAsia="Times New Roman" w:cs="Arial"/>
          <w:sz w:val="20"/>
          <w:szCs w:val="20"/>
        </w:rPr>
      </w:r>
    </w:p>
    <w:p>
      <w:pPr>
        <w:pStyle w:val="Normal"/>
        <w:spacing w:lineRule="auto" w:line="240" w:before="0" w:after="0"/>
        <w:rPr>
          <w:sz w:val="20"/>
          <w:szCs w:val="20"/>
        </w:rPr>
      </w:pPr>
      <w:r>
        <w:rPr>
          <w:rFonts w:eastAsia="Times New Roman" w:cs="Arial"/>
          <w:sz w:val="20"/>
          <w:szCs w:val="20"/>
        </w:rPr>
        <w:t xml:space="preserve">Other than it must be in writing, there is no set format for objecting. You can only ask the external auditor to act within the powers available under the </w:t>
      </w:r>
      <w:hyperlink r:id="rId9">
        <w:r>
          <w:rPr>
            <w:rStyle w:val="InternetLink"/>
            <w:rFonts w:eastAsia="Times New Roman" w:cs="Arial"/>
            <w:sz w:val="20"/>
            <w:szCs w:val="20"/>
          </w:rPr>
          <w:t>Local Audit and Accountability Act 2014</w:t>
        </w:r>
      </w:hyperlink>
      <w:r>
        <w:rPr>
          <w:rFonts w:eastAsia="Times New Roman" w:cs="Arial"/>
          <w:sz w:val="20"/>
          <w:szCs w:val="20"/>
        </w:rPr>
        <w:t xml:space="preserve">. </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sz w:val="20"/>
          <w:szCs w:val="20"/>
        </w:rPr>
      </w:pPr>
      <w:r>
        <w:rPr>
          <w:rFonts w:eastAsia="Times New Roman" w:cs="Arial"/>
          <w:b/>
          <w:sz w:val="20"/>
          <w:szCs w:val="20"/>
        </w:rPr>
        <w:t>A final word</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t>You may not use this ‘right to object’ to make a personal complaint or claim against your smaller authority.  You should take such complaints to your local Citizens’ Advice Bureau, local Law Centre or to your solicitor. Smaller authorities,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tbl>
      <w:tblPr>
        <w:tblW w:w="9067" w:type="dxa"/>
        <w:jc w:val="left"/>
        <w:tblInd w:w="0" w:type="dxa"/>
        <w:tblCellMar>
          <w:top w:w="0" w:type="dxa"/>
          <w:left w:w="108" w:type="dxa"/>
          <w:bottom w:w="0" w:type="dxa"/>
          <w:right w:w="108" w:type="dxa"/>
        </w:tblCellMar>
        <w:tblLook w:firstRow="1" w:noVBand="1" w:lastRow="0" w:firstColumn="1" w:lastColumn="0" w:noHBand="0" w:val="04a0"/>
      </w:tblPr>
      <w:tblGrid>
        <w:gridCol w:w="4389"/>
        <w:gridCol w:w="4677"/>
      </w:tblGrid>
      <w:tr>
        <w:trPr/>
        <w:tc>
          <w:tcPr>
            <w:tcW w:w="4389" w:type="dxa"/>
            <w:tcBorders>
              <w:top w:val="single" w:sz="4" w:space="0" w:color="000000"/>
              <w:left w:val="single" w:sz="4" w:space="0" w:color="000000"/>
              <w:bottom w:val="single" w:sz="4" w:space="0" w:color="000000"/>
              <w:right w:val="single" w:sz="4" w:space="0" w:color="000000"/>
            </w:tcBorders>
            <w:vAlign w:val="center"/>
          </w:tcPr>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t xml:space="preserve">For more detailed guidance on public rights and the special powers of auditors, copies of the publication </w:t>
            </w:r>
            <w:hyperlink r:id="rId10">
              <w:r>
                <w:rPr>
                  <w:rStyle w:val="InternetLink"/>
                  <w:rFonts w:eastAsia="Times New Roman" w:cs="Arial"/>
                  <w:sz w:val="20"/>
                  <w:szCs w:val="20"/>
                </w:rPr>
                <w:t>Local authority accounts: A guide to your rights</w:t>
              </w:r>
            </w:hyperlink>
            <w:r>
              <w:rPr>
                <w:rFonts w:eastAsia="Times New Roman" w:cs="Arial"/>
                <w:sz w:val="20"/>
                <w:szCs w:val="20"/>
              </w:rPr>
              <w:t xml:space="preserve"> are available from the NAO website.</w:t>
            </w:r>
          </w:p>
        </w:tc>
        <w:tc>
          <w:tcPr>
            <w:tcW w:w="4677" w:type="dxa"/>
            <w:tcBorders>
              <w:top w:val="single" w:sz="4" w:space="0" w:color="000000"/>
              <w:left w:val="single" w:sz="4" w:space="0" w:color="000000"/>
              <w:bottom w:val="single" w:sz="4" w:space="0" w:color="000000"/>
              <w:right w:val="single" w:sz="4" w:space="0" w:color="000000"/>
            </w:tcBorders>
          </w:tcPr>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t xml:space="preserve">If you wish to contact your authority’s appointed external auditor please write to the address in paragraph 4 of the </w:t>
            </w:r>
            <w:r>
              <w:rPr>
                <w:rFonts w:eastAsia="Times New Roman" w:cs="Arial"/>
                <w:i/>
                <w:sz w:val="20"/>
                <w:szCs w:val="20"/>
              </w:rPr>
              <w:t>Notice of Public Rights and Publication of Unaudited Annual Governance &amp; Accountability Return</w:t>
            </w:r>
            <w:r>
              <w:rPr>
                <w:rFonts w:eastAsia="Times New Roman" w:cs="Arial"/>
                <w:sz w:val="20"/>
                <w:szCs w:val="20"/>
              </w:rPr>
              <w:t>.</w:t>
            </w:r>
          </w:p>
          <w:p>
            <w:pPr>
              <w:pStyle w:val="Normal"/>
              <w:overflowPunct w:val="true"/>
              <w:spacing w:lineRule="auto" w:line="240" w:before="0" w:after="0"/>
              <w:textAlignment w:val="baseline"/>
              <w:rPr>
                <w:rFonts w:eastAsia="Times New Roman" w:cs="Arial"/>
                <w:sz w:val="20"/>
                <w:szCs w:val="20"/>
              </w:rPr>
            </w:pPr>
            <w:r>
              <w:rPr>
                <w:rFonts w:eastAsia="Times New Roman" w:cs="Arial"/>
                <w:sz w:val="20"/>
                <w:szCs w:val="20"/>
              </w:rPr>
            </w:r>
          </w:p>
        </w:tc>
      </w:tr>
    </w:tbl>
    <w:p>
      <w:pPr>
        <w:pStyle w:val="Normal"/>
        <w:spacing w:lineRule="auto" w:line="240" w:before="0" w:after="200"/>
        <w:jc w:val="left"/>
        <w:rPr/>
      </w:pPr>
      <w:r>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Arial">
    <w:charset w:val="01"/>
    <w:family w:val="swiss"/>
    <w:pitch w:val="default"/>
  </w:font>
  <w:font w:name="Segoe UI">
    <w:charset w:val="01"/>
    <w:family w:val="swiss"/>
    <w:pitch w:val="default"/>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lowerLetter"/>
      <w:lvlText w:val="%1."/>
      <w:lvlJc w:val="left"/>
      <w:pPr>
        <w:ind w:left="723" w:hanging="360"/>
      </w:pPr>
    </w:lvl>
    <w:lvl w:ilvl="1">
      <w:start w:val="1"/>
      <w:numFmt w:val="lowerLetter"/>
      <w:lvlText w:val="%2."/>
      <w:lvlJc w:val="left"/>
      <w:pPr>
        <w:ind w:left="1443" w:hanging="360"/>
      </w:pPr>
    </w:lvl>
    <w:lvl w:ilvl="2">
      <w:start w:val="1"/>
      <w:numFmt w:val="lowerRoman"/>
      <w:lvlText w:val="%3."/>
      <w:lvlJc w:val="right"/>
      <w:pPr>
        <w:ind w:left="2163" w:hanging="180"/>
      </w:pPr>
    </w:lvl>
    <w:lvl w:ilvl="3">
      <w:start w:val="1"/>
      <w:numFmt w:val="decimal"/>
      <w:lvlText w:val="%4."/>
      <w:lvlJc w:val="left"/>
      <w:pPr>
        <w:ind w:left="2883" w:hanging="360"/>
      </w:pPr>
    </w:lvl>
    <w:lvl w:ilvl="4">
      <w:start w:val="1"/>
      <w:numFmt w:val="lowerLetter"/>
      <w:lvlText w:val="%5."/>
      <w:lvlJc w:val="left"/>
      <w:pPr>
        <w:ind w:left="3603" w:hanging="360"/>
      </w:pPr>
    </w:lvl>
    <w:lvl w:ilvl="5">
      <w:start w:val="1"/>
      <w:numFmt w:val="lowerRoman"/>
      <w:lvlText w:val="%6."/>
      <w:lvlJc w:val="right"/>
      <w:pPr>
        <w:ind w:left="4323" w:hanging="180"/>
      </w:pPr>
    </w:lvl>
    <w:lvl w:ilvl="6">
      <w:start w:val="1"/>
      <w:numFmt w:val="decimal"/>
      <w:lvlText w:val="%7."/>
      <w:lvlJc w:val="left"/>
      <w:pPr>
        <w:ind w:left="5043" w:hanging="360"/>
      </w:pPr>
    </w:lvl>
    <w:lvl w:ilvl="7">
      <w:start w:val="1"/>
      <w:numFmt w:val="lowerLetter"/>
      <w:lvlText w:val="%8."/>
      <w:lvlJc w:val="left"/>
      <w:pPr>
        <w:ind w:left="5763" w:hanging="360"/>
      </w:pPr>
    </w:lvl>
    <w:lvl w:ilvl="8">
      <w:start w:val="1"/>
      <w:numFmt w:val="lowerRoman"/>
      <w:lvlText w:val="%9."/>
      <w:lvlJc w:val="right"/>
      <w:pPr>
        <w:ind w:left="6483" w:hanging="18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15fcf"/>
    <w:pPr>
      <w:widowControl/>
      <w:bidi w:val="0"/>
      <w:spacing w:lineRule="auto" w:line="276" w:before="0" w:after="200"/>
      <w:jc w:val="both"/>
    </w:pPr>
    <w:rPr>
      <w:rFonts w:ascii="Arial" w:hAnsi="Arial" w:eastAsia="Calibri" w:cs="" w:cstheme="minorBidi" w:eastAsiaTheme="minorHAnsi"/>
      <w:color w:val="auto"/>
      <w:kern w:val="0"/>
      <w:sz w:val="21"/>
      <w:szCs w:val="22"/>
      <w:lang w:val="en-GB" w:eastAsia="en-US" w:bidi="ar-SA"/>
    </w:rPr>
  </w:style>
  <w:style w:type="character" w:styleId="DefaultParagraphFont" w:default="1">
    <w:name w:val="Default Paragraph Font"/>
    <w:uiPriority w:val="1"/>
    <w:semiHidden/>
    <w:unhideWhenUsed/>
    <w:qFormat/>
    <w:rPr/>
  </w:style>
  <w:style w:type="character" w:styleId="Annotationreference">
    <w:name w:val="annotation reference"/>
    <w:basedOn w:val="DefaultParagraphFont"/>
    <w:uiPriority w:val="99"/>
    <w:semiHidden/>
    <w:unhideWhenUsed/>
    <w:qFormat/>
    <w:rsid w:val="00b53912"/>
    <w:rPr>
      <w:sz w:val="16"/>
      <w:szCs w:val="16"/>
    </w:rPr>
  </w:style>
  <w:style w:type="character" w:styleId="CommentTextChar" w:customStyle="1">
    <w:name w:val="Comment Text Char"/>
    <w:basedOn w:val="DefaultParagraphFont"/>
    <w:link w:val="CommentText"/>
    <w:uiPriority w:val="99"/>
    <w:semiHidden/>
    <w:qFormat/>
    <w:rsid w:val="00b53912"/>
    <w:rPr>
      <w:rFonts w:ascii="Arial" w:hAnsi="Arial"/>
      <w:sz w:val="20"/>
      <w:szCs w:val="20"/>
    </w:rPr>
  </w:style>
  <w:style w:type="character" w:styleId="CommentSubjectChar" w:customStyle="1">
    <w:name w:val="Comment Subject Char"/>
    <w:basedOn w:val="CommentTextChar"/>
    <w:link w:val="CommentSubject"/>
    <w:uiPriority w:val="99"/>
    <w:semiHidden/>
    <w:qFormat/>
    <w:rsid w:val="00b53912"/>
    <w:rPr>
      <w:rFonts w:ascii="Arial" w:hAnsi="Arial"/>
      <w:b/>
      <w:bCs/>
      <w:sz w:val="20"/>
      <w:szCs w:val="20"/>
    </w:rPr>
  </w:style>
  <w:style w:type="character" w:styleId="BalloonTextChar" w:customStyle="1">
    <w:name w:val="Balloon Text Char"/>
    <w:basedOn w:val="DefaultParagraphFont"/>
    <w:link w:val="BalloonText"/>
    <w:uiPriority w:val="99"/>
    <w:semiHidden/>
    <w:qFormat/>
    <w:rsid w:val="00b53912"/>
    <w:rPr>
      <w:rFonts w:ascii="Segoe UI" w:hAnsi="Segoe UI" w:cs="Segoe UI"/>
      <w:sz w:val="18"/>
      <w:szCs w:val="18"/>
    </w:rPr>
  </w:style>
  <w:style w:type="character" w:styleId="InternetLink">
    <w:name w:val="Hyperlink"/>
    <w:basedOn w:val="DefaultParagraphFont"/>
    <w:uiPriority w:val="99"/>
    <w:unhideWhenUsed/>
    <w:rsid w:val="00805a33"/>
    <w:rPr>
      <w:color w:val="0563C1" w:themeColor="hyperlink"/>
      <w:u w:val="single"/>
    </w:rPr>
  </w:style>
  <w:style w:type="character" w:styleId="UnresolvedMention1" w:customStyle="1">
    <w:name w:val="Unresolved Mention1"/>
    <w:basedOn w:val="DefaultParagraphFont"/>
    <w:uiPriority w:val="99"/>
    <w:semiHidden/>
    <w:unhideWhenUsed/>
    <w:qFormat/>
    <w:rsid w:val="00805a33"/>
    <w:rPr>
      <w:color w:val="808080"/>
      <w:shd w:fill="E6E6E6" w:val="clear"/>
    </w:rPr>
  </w:style>
  <w:style w:type="paragraph" w:styleId="Heading">
    <w:name w:val="Heading"/>
    <w:basedOn w:val="Normal"/>
    <w:next w:val="TextBody"/>
    <w:qFormat/>
    <w:pPr>
      <w:keepNext w:val="true"/>
      <w:spacing w:before="240" w:after="120"/>
    </w:pPr>
    <w:rPr>
      <w:rFonts w:ascii="Calibri" w:hAnsi="Calibri"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Calibri" w:hAnsi="Calibri" w:cs="Lucida Sans"/>
    </w:rPr>
  </w:style>
  <w:style w:type="paragraph" w:styleId="Caption">
    <w:name w:val="Caption"/>
    <w:basedOn w:val="Normal"/>
    <w:qFormat/>
    <w:pPr>
      <w:suppressLineNumbers/>
      <w:spacing w:before="120" w:after="120"/>
    </w:pPr>
    <w:rPr>
      <w:rFonts w:ascii="Calibri" w:hAnsi="Calibri" w:cs="Lucida Sans"/>
      <w:i/>
      <w:iCs/>
      <w:sz w:val="24"/>
      <w:szCs w:val="24"/>
    </w:rPr>
  </w:style>
  <w:style w:type="paragraph" w:styleId="Index">
    <w:name w:val="Index"/>
    <w:basedOn w:val="Normal"/>
    <w:qFormat/>
    <w:pPr>
      <w:suppressLineNumbers/>
    </w:pPr>
    <w:rPr>
      <w:rFonts w:ascii="Calibri" w:hAnsi="Calibri" w:cs="Lucida Sans"/>
    </w:rPr>
  </w:style>
  <w:style w:type="paragraph" w:styleId="ListParagraph">
    <w:name w:val="List Paragraph"/>
    <w:basedOn w:val="Normal"/>
    <w:uiPriority w:val="34"/>
    <w:qFormat/>
    <w:rsid w:val="00815fcf"/>
    <w:pPr>
      <w:overflowPunct w:val="true"/>
      <w:spacing w:lineRule="auto" w:line="240" w:before="0" w:after="0"/>
      <w:ind w:left="720" w:hanging="0"/>
      <w:contextualSpacing/>
      <w:jc w:val="left"/>
      <w:textAlignment w:val="baseline"/>
    </w:pPr>
    <w:rPr>
      <w:rFonts w:eastAsia="Times New Roman" w:cs="Arial"/>
      <w:szCs w:val="20"/>
    </w:rPr>
  </w:style>
  <w:style w:type="paragraph" w:styleId="Annotationtext">
    <w:name w:val="annotation text"/>
    <w:basedOn w:val="Normal"/>
    <w:link w:val="CommentTextChar"/>
    <w:uiPriority w:val="99"/>
    <w:semiHidden/>
    <w:unhideWhenUsed/>
    <w:qFormat/>
    <w:rsid w:val="00b53912"/>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b53912"/>
    <w:pPr/>
    <w:rPr>
      <w:b/>
      <w:bCs/>
    </w:rPr>
  </w:style>
  <w:style w:type="paragraph" w:styleId="BalloonText">
    <w:name w:val="Balloon Text"/>
    <w:basedOn w:val="Normal"/>
    <w:link w:val="BalloonTextChar"/>
    <w:uiPriority w:val="99"/>
    <w:semiHidden/>
    <w:unhideWhenUsed/>
    <w:qFormat/>
    <w:rsid w:val="00b53912"/>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egislation.gov.uk/ukpga/2014/2/contents" TargetMode="External"/><Relationship Id="rId3" Type="http://schemas.openxmlformats.org/officeDocument/2006/relationships/hyperlink" Target="http://www.legislation.gov.uk/uksi/2015/234/contents/made" TargetMode="External"/><Relationship Id="rId4" Type="http://schemas.openxmlformats.org/officeDocument/2006/relationships/hyperlink" Target="http://www.legislation.gov.uk/uksi/2020/404/contents/made" TargetMode="External"/><Relationship Id="rId5" Type="http://schemas.openxmlformats.org/officeDocument/2006/relationships/hyperlink" Target="mailto:sba@pkf-littlejohn.com" TargetMode="External"/><Relationship Id="rId6" Type="http://schemas.openxmlformats.org/officeDocument/2006/relationships/hyperlink" Target="http://www.legislation.gov.uk/ukpga/2014/2/contents" TargetMode="External"/><Relationship Id="rId7" Type="http://schemas.openxmlformats.org/officeDocument/2006/relationships/hyperlink" Target="http://www.legislation.gov.uk/uksi/2015/234/contents/made" TargetMode="External"/><Relationship Id="rId8" Type="http://schemas.openxmlformats.org/officeDocument/2006/relationships/hyperlink" Target="http://www.legislation.gov.uk/uksi/2020/404/contents/made" TargetMode="External"/><Relationship Id="rId9" Type="http://schemas.openxmlformats.org/officeDocument/2006/relationships/hyperlink" Target="http://www.legislation.gov.uk/ukpga/2014/2/contents" TargetMode="External"/><Relationship Id="rId10" Type="http://schemas.openxmlformats.org/officeDocument/2006/relationships/hyperlink" Target="https://www.pkf-littlejohn.com/sites/default/files/media/documents/local-authority-accounts-a-guide-to-your-rights_0.pdf"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Application>LibreOffice/6.4.3.2$Windows_X86_64 LibreOffice_project/747b5d0ebf89f41c860ec2a39efd7cb15b54f2d8</Application>
  <Pages>4</Pages>
  <Words>2454</Words>
  <Characters>12409</Characters>
  <CharactersWithSpaces>14823</CharactersWithSpaces>
  <Paragraphs>75</Paragraphs>
  <Company>PKF Littlejohn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2019-03-12T16:00:00Z</dcterms:created>
  <dc:creator>Rebecca Plane</dc:creator>
  <dc:description/>
  <dc:language>en-GB</dc:language>
  <cp:lastModifiedBy/>
  <cp:lastPrinted>2020-05-16T12:42:14Z</cp:lastPrinted>
  <dcterms:modified xsi:type="dcterms:W3CDTF">2020-05-16T12:42:34Z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PKF Littlejohn</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