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75D0D" w14:textId="5D766C5E" w:rsidR="00A319EC" w:rsidRDefault="00834BDF">
      <w:pPr>
        <w:rPr>
          <w:b/>
          <w:bCs/>
          <w:sz w:val="32"/>
          <w:szCs w:val="32"/>
        </w:rPr>
      </w:pPr>
      <w:r w:rsidRPr="00834BDF">
        <w:rPr>
          <w:b/>
          <w:bCs/>
          <w:sz w:val="32"/>
          <w:szCs w:val="32"/>
        </w:rPr>
        <w:t>Beaumont Parish Hall Reserves Policy</w:t>
      </w:r>
    </w:p>
    <w:p w14:paraId="266F1D31" w14:textId="44503D77" w:rsidR="00834BDF" w:rsidRDefault="00834BDF">
      <w:pPr>
        <w:rPr>
          <w:b/>
          <w:bCs/>
          <w:sz w:val="24"/>
          <w:szCs w:val="24"/>
        </w:rPr>
      </w:pPr>
    </w:p>
    <w:p w14:paraId="5552DE5D" w14:textId="2FDE7F72" w:rsidR="00834BDF" w:rsidRDefault="00834BDF" w:rsidP="00834BDF">
      <w:pPr>
        <w:rPr>
          <w:b/>
          <w:bCs/>
          <w:sz w:val="28"/>
          <w:szCs w:val="28"/>
        </w:rPr>
      </w:pPr>
      <w:r w:rsidRPr="00834BDF">
        <w:rPr>
          <w:b/>
          <w:bCs/>
          <w:sz w:val="28"/>
          <w:szCs w:val="28"/>
        </w:rPr>
        <w:t>Statement</w:t>
      </w:r>
    </w:p>
    <w:p w14:paraId="05CC151B" w14:textId="1463D045" w:rsidR="00834BDF" w:rsidRDefault="00834BDF" w:rsidP="00834BDF">
      <w:pPr>
        <w:rPr>
          <w:sz w:val="24"/>
          <w:szCs w:val="24"/>
        </w:rPr>
      </w:pPr>
      <w:r>
        <w:rPr>
          <w:sz w:val="24"/>
          <w:szCs w:val="24"/>
        </w:rPr>
        <w:t>The Policy supports the running of Beaumont Parish Hall. The policy is reviewed following any significant change in financial circumstances and as a minimum annually.</w:t>
      </w:r>
    </w:p>
    <w:p w14:paraId="3DFC2BBF" w14:textId="577EFA97" w:rsidR="00834BDF" w:rsidRDefault="00834BDF" w:rsidP="00834BDF">
      <w:pPr>
        <w:rPr>
          <w:sz w:val="24"/>
          <w:szCs w:val="24"/>
        </w:rPr>
      </w:pPr>
      <w:r>
        <w:rPr>
          <w:sz w:val="24"/>
          <w:szCs w:val="24"/>
        </w:rPr>
        <w:t xml:space="preserve">Income reserves are described by the Charity Commission as resources the charity has or can make available to spend for any or </w:t>
      </w:r>
      <w:proofErr w:type="gramStart"/>
      <w:r>
        <w:rPr>
          <w:sz w:val="24"/>
          <w:szCs w:val="24"/>
        </w:rPr>
        <w:t>all of</w:t>
      </w:r>
      <w:proofErr w:type="gramEnd"/>
      <w:r>
        <w:rPr>
          <w:sz w:val="24"/>
          <w:szCs w:val="24"/>
        </w:rPr>
        <w:t xml:space="preserve"> the charity’s purposes, once it has met its commitments and covered other planned expenditure.</w:t>
      </w:r>
    </w:p>
    <w:p w14:paraId="3D60540A" w14:textId="2B639AC4" w:rsidR="00834BDF" w:rsidRDefault="00834BDF" w:rsidP="00834BDF">
      <w:pPr>
        <w:rPr>
          <w:sz w:val="24"/>
          <w:szCs w:val="24"/>
        </w:rPr>
      </w:pPr>
      <w:r>
        <w:rPr>
          <w:sz w:val="24"/>
          <w:szCs w:val="24"/>
        </w:rPr>
        <w:t>There are two types of reserves</w:t>
      </w:r>
    </w:p>
    <w:p w14:paraId="0A27F272" w14:textId="5949025C" w:rsidR="00834BDF" w:rsidRDefault="00834BDF" w:rsidP="00834BD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34BDF">
        <w:rPr>
          <w:b/>
          <w:bCs/>
          <w:sz w:val="24"/>
          <w:szCs w:val="24"/>
        </w:rPr>
        <w:t>Unrestricted reserves</w:t>
      </w:r>
      <w:r>
        <w:rPr>
          <w:sz w:val="24"/>
          <w:szCs w:val="24"/>
        </w:rPr>
        <w:t>, which are held to offset risks and meet all future expenditure</w:t>
      </w:r>
    </w:p>
    <w:p w14:paraId="60EC6CD8" w14:textId="77777777" w:rsidR="001A4561" w:rsidRDefault="001A4561" w:rsidP="001A4561">
      <w:pPr>
        <w:pStyle w:val="ListParagraph"/>
        <w:rPr>
          <w:sz w:val="24"/>
          <w:szCs w:val="24"/>
        </w:rPr>
      </w:pPr>
    </w:p>
    <w:p w14:paraId="6D7746BC" w14:textId="3EF5F4D1" w:rsidR="001A4561" w:rsidRPr="001A4561" w:rsidRDefault="00834BDF" w:rsidP="001A456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Restricted reserves, </w:t>
      </w:r>
      <w:r w:rsidRPr="00834BDF">
        <w:rPr>
          <w:sz w:val="24"/>
          <w:szCs w:val="24"/>
        </w:rPr>
        <w:t>which are raised or held for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specific </w:t>
      </w:r>
      <w:r>
        <w:rPr>
          <w:sz w:val="24"/>
          <w:szCs w:val="24"/>
        </w:rPr>
        <w:t>future purposes</w:t>
      </w:r>
    </w:p>
    <w:p w14:paraId="4FF1EBA7" w14:textId="57C1BF46" w:rsidR="00834BDF" w:rsidRDefault="00834BDF" w:rsidP="00834BDF">
      <w:pPr>
        <w:rPr>
          <w:sz w:val="24"/>
          <w:szCs w:val="24"/>
        </w:rPr>
      </w:pPr>
      <w:r>
        <w:rPr>
          <w:sz w:val="24"/>
          <w:szCs w:val="24"/>
        </w:rPr>
        <w:t xml:space="preserve">There may be occasions when an administrative act </w:t>
      </w:r>
      <w:r>
        <w:rPr>
          <w:i/>
          <w:iCs/>
          <w:sz w:val="24"/>
          <w:szCs w:val="24"/>
        </w:rPr>
        <w:t xml:space="preserve">designates </w:t>
      </w:r>
      <w:r>
        <w:rPr>
          <w:sz w:val="24"/>
          <w:szCs w:val="24"/>
        </w:rPr>
        <w:t>unrestricted funds for a particular project or use.</w:t>
      </w:r>
    </w:p>
    <w:p w14:paraId="3ED3C476" w14:textId="5D24A926" w:rsidR="00834BDF" w:rsidRDefault="00834BDF" w:rsidP="00834BDF">
      <w:pPr>
        <w:rPr>
          <w:sz w:val="24"/>
          <w:szCs w:val="24"/>
        </w:rPr>
      </w:pPr>
    </w:p>
    <w:p w14:paraId="6279FF2E" w14:textId="283F467C" w:rsidR="00834BDF" w:rsidRDefault="00834BDF" w:rsidP="00834BDF">
      <w:pPr>
        <w:rPr>
          <w:b/>
          <w:bCs/>
          <w:sz w:val="28"/>
          <w:szCs w:val="28"/>
        </w:rPr>
      </w:pPr>
      <w:r w:rsidRPr="00834BDF">
        <w:rPr>
          <w:b/>
          <w:bCs/>
          <w:sz w:val="28"/>
          <w:szCs w:val="28"/>
        </w:rPr>
        <w:t xml:space="preserve">The </w:t>
      </w:r>
      <w:r w:rsidR="001A4561">
        <w:rPr>
          <w:b/>
          <w:bCs/>
          <w:sz w:val="28"/>
          <w:szCs w:val="28"/>
        </w:rPr>
        <w:t>R</w:t>
      </w:r>
      <w:r w:rsidRPr="00834BDF">
        <w:rPr>
          <w:b/>
          <w:bCs/>
          <w:sz w:val="28"/>
          <w:szCs w:val="28"/>
        </w:rPr>
        <w:t xml:space="preserve">easons for </w:t>
      </w:r>
      <w:r w:rsidR="001A4561">
        <w:rPr>
          <w:b/>
          <w:bCs/>
          <w:sz w:val="28"/>
          <w:szCs w:val="28"/>
        </w:rPr>
        <w:t>R</w:t>
      </w:r>
      <w:r w:rsidRPr="00834BDF">
        <w:rPr>
          <w:b/>
          <w:bCs/>
          <w:sz w:val="28"/>
          <w:szCs w:val="28"/>
        </w:rPr>
        <w:t>eserves</w:t>
      </w:r>
    </w:p>
    <w:p w14:paraId="74D62851" w14:textId="7CBDDDC6" w:rsidR="001A4561" w:rsidRDefault="00834BDF" w:rsidP="00834BDF">
      <w:pPr>
        <w:rPr>
          <w:sz w:val="24"/>
          <w:szCs w:val="24"/>
        </w:rPr>
      </w:pPr>
      <w:r w:rsidRPr="00834BDF">
        <w:rPr>
          <w:sz w:val="24"/>
          <w:szCs w:val="24"/>
        </w:rPr>
        <w:t>The Charity Commission’s “</w:t>
      </w:r>
      <w:r>
        <w:rPr>
          <w:sz w:val="24"/>
          <w:szCs w:val="24"/>
        </w:rPr>
        <w:t>Charities’ Reserves” Policy, CC19 and “Statement of Accounting Practice – Accounting and Reporting by</w:t>
      </w:r>
      <w:r w:rsidR="001A4561">
        <w:rPr>
          <w:sz w:val="24"/>
          <w:szCs w:val="24"/>
        </w:rPr>
        <w:t xml:space="preserve"> Charities (SORP 2000)”, requires a Reserves Policy to be included in the “Trustees Report and Annual Accounts “for each year end.</w:t>
      </w:r>
    </w:p>
    <w:p w14:paraId="3640B795" w14:textId="71E4E070" w:rsidR="001A4561" w:rsidRDefault="001A4561" w:rsidP="00834BDF">
      <w:pPr>
        <w:rPr>
          <w:sz w:val="24"/>
          <w:szCs w:val="24"/>
        </w:rPr>
      </w:pPr>
      <w:r>
        <w:rPr>
          <w:sz w:val="24"/>
          <w:szCs w:val="24"/>
        </w:rPr>
        <w:t>The following are considered when planning for the level of reserves:</w:t>
      </w:r>
    </w:p>
    <w:p w14:paraId="74830E23" w14:textId="346A042E" w:rsidR="001A4561" w:rsidRDefault="001A4561" w:rsidP="00834BD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Unrestricted reserves for cash flow emergencies:</w:t>
      </w:r>
    </w:p>
    <w:p w14:paraId="622F23DD" w14:textId="1BF3D105" w:rsidR="001A4561" w:rsidRDefault="001A4561" w:rsidP="00834BDF">
      <w:pPr>
        <w:rPr>
          <w:sz w:val="24"/>
          <w:szCs w:val="24"/>
        </w:rPr>
      </w:pPr>
      <w:r w:rsidRPr="001A4561">
        <w:rPr>
          <w:sz w:val="24"/>
          <w:szCs w:val="24"/>
        </w:rPr>
        <w:t xml:space="preserve">A reserve of a minimum </w:t>
      </w:r>
      <w:r>
        <w:rPr>
          <w:sz w:val="24"/>
          <w:szCs w:val="24"/>
        </w:rPr>
        <w:t xml:space="preserve">equivalent to at least 2 years budgeted annual expenditure will be maintained to cover any period of unforeseen difficulty, negative cash </w:t>
      </w:r>
      <w:proofErr w:type="gramStart"/>
      <w:r>
        <w:rPr>
          <w:sz w:val="24"/>
          <w:szCs w:val="24"/>
        </w:rPr>
        <w:t>flow</w:t>
      </w:r>
      <w:proofErr w:type="gramEnd"/>
      <w:r>
        <w:rPr>
          <w:sz w:val="24"/>
          <w:szCs w:val="24"/>
        </w:rPr>
        <w:t xml:space="preserve"> or emergencies (e</w:t>
      </w:r>
      <w:r w:rsidR="00FE0583">
        <w:rPr>
          <w:sz w:val="24"/>
          <w:szCs w:val="24"/>
        </w:rPr>
        <w:t>.</w:t>
      </w:r>
      <w:r>
        <w:rPr>
          <w:sz w:val="24"/>
          <w:szCs w:val="24"/>
        </w:rPr>
        <w:t>g</w:t>
      </w:r>
      <w:r w:rsidR="00FE0583">
        <w:rPr>
          <w:sz w:val="24"/>
          <w:szCs w:val="24"/>
        </w:rPr>
        <w:t>.</w:t>
      </w:r>
      <w:r>
        <w:rPr>
          <w:sz w:val="24"/>
          <w:szCs w:val="24"/>
        </w:rPr>
        <w:t xml:space="preserve"> heating breakdown or damage to flooring/equipment). If assessed, efforts should be immediately put in place to restore the balance to the minimum amount.</w:t>
      </w:r>
    </w:p>
    <w:p w14:paraId="0600C3CA" w14:textId="77B048D1" w:rsidR="001A4561" w:rsidRDefault="001A4561" w:rsidP="00834BDF">
      <w:pPr>
        <w:rPr>
          <w:sz w:val="24"/>
          <w:szCs w:val="24"/>
        </w:rPr>
      </w:pPr>
      <w:r>
        <w:rPr>
          <w:sz w:val="24"/>
          <w:szCs w:val="24"/>
        </w:rPr>
        <w:t xml:space="preserve">Planned ongoing and annual </w:t>
      </w:r>
      <w:r w:rsidR="00FE0583">
        <w:rPr>
          <w:sz w:val="24"/>
          <w:szCs w:val="24"/>
        </w:rPr>
        <w:t>maintenance</w:t>
      </w:r>
      <w:r>
        <w:rPr>
          <w:sz w:val="24"/>
          <w:szCs w:val="24"/>
        </w:rPr>
        <w:t xml:space="preserve"> expenditure will be included in the Annual Budget and detailed in the Annual Maintenance Plan. T</w:t>
      </w:r>
      <w:r w:rsidR="002832AA">
        <w:rPr>
          <w:sz w:val="24"/>
          <w:szCs w:val="24"/>
        </w:rPr>
        <w:t>h</w:t>
      </w:r>
      <w:r>
        <w:rPr>
          <w:sz w:val="24"/>
          <w:szCs w:val="24"/>
        </w:rPr>
        <w:t xml:space="preserve">is ensures the </w:t>
      </w:r>
      <w:r w:rsidR="002832AA">
        <w:rPr>
          <w:sz w:val="24"/>
          <w:szCs w:val="24"/>
        </w:rPr>
        <w:t>hall and its grounds</w:t>
      </w:r>
      <w:r>
        <w:rPr>
          <w:sz w:val="24"/>
          <w:szCs w:val="24"/>
        </w:rPr>
        <w:t xml:space="preserve"> </w:t>
      </w:r>
      <w:r w:rsidR="002832AA">
        <w:rPr>
          <w:sz w:val="24"/>
          <w:szCs w:val="24"/>
        </w:rPr>
        <w:t>are</w:t>
      </w:r>
      <w:r>
        <w:rPr>
          <w:sz w:val="24"/>
          <w:szCs w:val="24"/>
        </w:rPr>
        <w:t xml:space="preserve"> maintained in good condition for the benefit of all hall users and to meet the conditions of the Insurance Policy.</w:t>
      </w:r>
    </w:p>
    <w:p w14:paraId="05CF32A7" w14:textId="42CF0B5D" w:rsidR="00834BDF" w:rsidRPr="00834BDF" w:rsidRDefault="00834BDF" w:rsidP="00FE0583">
      <w:pPr>
        <w:rPr>
          <w:sz w:val="24"/>
          <w:szCs w:val="24"/>
          <w:u w:val="single"/>
        </w:rPr>
      </w:pPr>
    </w:p>
    <w:sectPr w:rsidR="00834BDF" w:rsidRPr="00834BDF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9C51B" w14:textId="77777777" w:rsidR="00632B96" w:rsidRDefault="00632B96" w:rsidP="00B056CD">
      <w:pPr>
        <w:spacing w:after="0" w:line="240" w:lineRule="auto"/>
      </w:pPr>
      <w:r>
        <w:separator/>
      </w:r>
    </w:p>
  </w:endnote>
  <w:endnote w:type="continuationSeparator" w:id="0">
    <w:p w14:paraId="47A8EE4C" w14:textId="77777777" w:rsidR="00632B96" w:rsidRDefault="00632B96" w:rsidP="00B05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29767" w14:textId="16B755C2" w:rsidR="00B056CD" w:rsidRDefault="00B056CD">
    <w:pPr>
      <w:pStyle w:val="Footer"/>
    </w:pPr>
    <w:r>
      <w:ptab w:relativeTo="margin" w:alignment="center" w:leader="none"/>
    </w:r>
    <w:r>
      <w:ptab w:relativeTo="margin" w:alignment="right" w:leader="none"/>
    </w:r>
    <w:r w:rsidRPr="00B056CD">
      <w:t>BPHRP 01 v0</w:t>
    </w:r>
    <w:r w:rsidR="00361707"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D2BF5" w14:textId="77777777" w:rsidR="00632B96" w:rsidRDefault="00632B96" w:rsidP="00B056CD">
      <w:pPr>
        <w:spacing w:after="0" w:line="240" w:lineRule="auto"/>
      </w:pPr>
      <w:r>
        <w:separator/>
      </w:r>
    </w:p>
  </w:footnote>
  <w:footnote w:type="continuationSeparator" w:id="0">
    <w:p w14:paraId="7646DC8B" w14:textId="77777777" w:rsidR="00632B96" w:rsidRDefault="00632B96" w:rsidP="00B056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3C3962"/>
    <w:multiLevelType w:val="hybridMultilevel"/>
    <w:tmpl w:val="5F7225E2"/>
    <w:lvl w:ilvl="0" w:tplc="488208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844CA1"/>
    <w:multiLevelType w:val="hybridMultilevel"/>
    <w:tmpl w:val="38F43A74"/>
    <w:lvl w:ilvl="0" w:tplc="488208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0690180">
    <w:abstractNumId w:val="1"/>
  </w:num>
  <w:num w:numId="2" w16cid:durableId="213129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BDF"/>
    <w:rsid w:val="00013FFE"/>
    <w:rsid w:val="000C7EE8"/>
    <w:rsid w:val="001A4561"/>
    <w:rsid w:val="001B1A52"/>
    <w:rsid w:val="0022632A"/>
    <w:rsid w:val="002832AA"/>
    <w:rsid w:val="002D2D50"/>
    <w:rsid w:val="002F7ABD"/>
    <w:rsid w:val="00333AE3"/>
    <w:rsid w:val="00333ECB"/>
    <w:rsid w:val="00334F71"/>
    <w:rsid w:val="00361707"/>
    <w:rsid w:val="003D61BA"/>
    <w:rsid w:val="003E7F80"/>
    <w:rsid w:val="00632B96"/>
    <w:rsid w:val="007376D7"/>
    <w:rsid w:val="0077313D"/>
    <w:rsid w:val="007743CB"/>
    <w:rsid w:val="00834BDF"/>
    <w:rsid w:val="009B2304"/>
    <w:rsid w:val="009B5E4F"/>
    <w:rsid w:val="00A319EC"/>
    <w:rsid w:val="00B056CD"/>
    <w:rsid w:val="00B70CD2"/>
    <w:rsid w:val="00BB69C6"/>
    <w:rsid w:val="00C0357B"/>
    <w:rsid w:val="00FE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1F78"/>
  <w15:chartTrackingRefBased/>
  <w15:docId w15:val="{90601704-5E99-4ED6-9DF8-0DB4B65AF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B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56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6CD"/>
  </w:style>
  <w:style w:type="paragraph" w:styleId="Footer">
    <w:name w:val="footer"/>
    <w:basedOn w:val="Normal"/>
    <w:link w:val="FooterChar"/>
    <w:uiPriority w:val="99"/>
    <w:unhideWhenUsed/>
    <w:rsid w:val="00B056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Irving</dc:creator>
  <cp:keywords/>
  <dc:description/>
  <cp:lastModifiedBy>Albinas Stasaitis</cp:lastModifiedBy>
  <cp:revision>3</cp:revision>
  <dcterms:created xsi:type="dcterms:W3CDTF">2024-08-04T20:44:00Z</dcterms:created>
  <dcterms:modified xsi:type="dcterms:W3CDTF">2025-06-04T18:59:00Z</dcterms:modified>
</cp:coreProperties>
</file>