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F024673" w14:textId="2C9C9EC5" w:rsidR="004E613D" w:rsidRDefault="00000000" w:rsidP="00EF127E">
      <w:pPr>
        <w:spacing w:before="222" w:line="219" w:lineRule="auto"/>
        <w:ind w:left="100"/>
        <w:jc w:val="center"/>
        <w:rPr>
          <w:rFonts w:ascii="Arial" w:hAnsi="Arial" w:cs="Arial"/>
          <w:b/>
          <w:bCs/>
          <w:sz w:val="24"/>
          <w:szCs w:val="24"/>
        </w:rPr>
      </w:pPr>
      <w:r w:rsidRPr="004E613D">
        <w:rPr>
          <w:rFonts w:ascii="Arial" w:hAnsi="Arial" w:cs="Arial"/>
          <w:b/>
          <w:bCs/>
          <w:sz w:val="24"/>
          <w:szCs w:val="24"/>
        </w:rPr>
        <w:t>Chaddleworth Parish Council</w:t>
      </w:r>
    </w:p>
    <w:p w14:paraId="4D97D42F" w14:textId="2D02C1B5" w:rsidR="00EF127E" w:rsidRPr="004E613D" w:rsidRDefault="00EF127E" w:rsidP="00EF127E">
      <w:pPr>
        <w:spacing w:before="222" w:line="219" w:lineRule="auto"/>
        <w:ind w:left="100"/>
        <w:jc w:val="center"/>
        <w:rPr>
          <w:rFonts w:ascii="Arial" w:hAnsi="Arial" w:cs="Arial"/>
          <w:b/>
          <w:bCs/>
          <w:i/>
        </w:rPr>
      </w:pPr>
      <w:r>
        <w:rPr>
          <w:rFonts w:ascii="Arial" w:hAnsi="Arial" w:cs="Arial"/>
          <w:b/>
          <w:bCs/>
          <w:sz w:val="24"/>
          <w:szCs w:val="24"/>
        </w:rPr>
        <w:t>Reserves Policy</w:t>
      </w:r>
    </w:p>
    <w:p w14:paraId="3D1A122F" w14:textId="77777777" w:rsidR="00EF127E" w:rsidRPr="00EF127E" w:rsidRDefault="00EF127E" w:rsidP="00EF127E">
      <w:pPr>
        <w:spacing w:before="222" w:line="219" w:lineRule="auto"/>
        <w:jc w:val="both"/>
        <w:rPr>
          <w:rFonts w:ascii="Arial" w:hAnsi="Arial" w:cs="Arial"/>
          <w:b/>
          <w:iCs/>
          <w:sz w:val="20"/>
          <w:szCs w:val="20"/>
        </w:rPr>
      </w:pPr>
      <w:r w:rsidRPr="00EF127E">
        <w:rPr>
          <w:rFonts w:ascii="Arial" w:hAnsi="Arial" w:cs="Arial"/>
          <w:b/>
          <w:iCs/>
          <w:sz w:val="20"/>
          <w:szCs w:val="20"/>
        </w:rPr>
        <w:t>Introduction</w:t>
      </w:r>
    </w:p>
    <w:p w14:paraId="540532A3" w14:textId="7F06B17C" w:rsidR="00EF127E" w:rsidRPr="00EF127E" w:rsidRDefault="00EF127E" w:rsidP="00EF127E">
      <w:pPr>
        <w:spacing w:before="222" w:line="219" w:lineRule="auto"/>
        <w:jc w:val="both"/>
        <w:rPr>
          <w:rFonts w:ascii="Arial" w:hAnsi="Arial" w:cs="Arial"/>
          <w:bCs/>
          <w:iCs/>
          <w:sz w:val="20"/>
          <w:szCs w:val="20"/>
        </w:rPr>
      </w:pPr>
      <w:r>
        <w:rPr>
          <w:rFonts w:ascii="Arial" w:hAnsi="Arial" w:cs="Arial"/>
          <w:bCs/>
          <w:iCs/>
          <w:sz w:val="20"/>
          <w:szCs w:val="20"/>
        </w:rPr>
        <w:t xml:space="preserve">Chaddleworth </w:t>
      </w:r>
      <w:r w:rsidRPr="00EF127E">
        <w:rPr>
          <w:rFonts w:ascii="Arial" w:hAnsi="Arial" w:cs="Arial"/>
          <w:bCs/>
          <w:iCs/>
          <w:sz w:val="20"/>
          <w:szCs w:val="20"/>
        </w:rPr>
        <w:t>Parish Council is required to maintain adequate financial reserves to meet the needs</w:t>
      </w:r>
      <w:r>
        <w:rPr>
          <w:rFonts w:ascii="Arial" w:hAnsi="Arial" w:cs="Arial"/>
          <w:bCs/>
          <w:iCs/>
          <w:sz w:val="20"/>
          <w:szCs w:val="20"/>
        </w:rPr>
        <w:t xml:space="preserve"> </w:t>
      </w:r>
      <w:r w:rsidRPr="00EF127E">
        <w:rPr>
          <w:rFonts w:ascii="Arial" w:hAnsi="Arial" w:cs="Arial"/>
          <w:bCs/>
          <w:iCs/>
          <w:sz w:val="20"/>
          <w:szCs w:val="20"/>
        </w:rPr>
        <w:t>of the organisation. The purpose of this policy is to set out how the Council will determine and</w:t>
      </w:r>
      <w:r>
        <w:rPr>
          <w:rFonts w:ascii="Arial" w:hAnsi="Arial" w:cs="Arial"/>
          <w:bCs/>
          <w:iCs/>
          <w:sz w:val="20"/>
          <w:szCs w:val="20"/>
        </w:rPr>
        <w:t xml:space="preserve"> </w:t>
      </w:r>
      <w:r w:rsidRPr="00EF127E">
        <w:rPr>
          <w:rFonts w:ascii="Arial" w:hAnsi="Arial" w:cs="Arial"/>
          <w:bCs/>
          <w:iCs/>
          <w:sz w:val="20"/>
          <w:szCs w:val="20"/>
        </w:rPr>
        <w:t>review the level of reserves.</w:t>
      </w:r>
    </w:p>
    <w:p w14:paraId="5E24F2D3" w14:textId="65530D59" w:rsidR="00EF127E" w:rsidRPr="00EF127E" w:rsidRDefault="00EF127E" w:rsidP="00EF127E">
      <w:pPr>
        <w:spacing w:before="222" w:line="219" w:lineRule="auto"/>
        <w:jc w:val="both"/>
        <w:rPr>
          <w:rFonts w:ascii="Arial" w:hAnsi="Arial" w:cs="Arial"/>
          <w:bCs/>
          <w:iCs/>
          <w:sz w:val="20"/>
          <w:szCs w:val="20"/>
        </w:rPr>
      </w:pPr>
      <w:r w:rsidRPr="00EF127E">
        <w:rPr>
          <w:rFonts w:ascii="Arial" w:hAnsi="Arial" w:cs="Arial"/>
          <w:bCs/>
          <w:iCs/>
          <w:sz w:val="20"/>
          <w:szCs w:val="20"/>
        </w:rPr>
        <w:t>Sections 32 and 43 of the Local Government Finance Act 1992 require local authorities to have</w:t>
      </w:r>
      <w:r>
        <w:rPr>
          <w:rFonts w:ascii="Arial" w:hAnsi="Arial" w:cs="Arial"/>
          <w:bCs/>
          <w:iCs/>
          <w:sz w:val="20"/>
          <w:szCs w:val="20"/>
        </w:rPr>
        <w:t xml:space="preserve"> </w:t>
      </w:r>
      <w:r w:rsidRPr="00EF127E">
        <w:rPr>
          <w:rFonts w:ascii="Arial" w:hAnsi="Arial" w:cs="Arial"/>
          <w:bCs/>
          <w:iCs/>
          <w:sz w:val="20"/>
          <w:szCs w:val="20"/>
        </w:rPr>
        <w:t>regard to the level of reserves needed for meeting estimated future expenditure when</w:t>
      </w:r>
      <w:r>
        <w:rPr>
          <w:rFonts w:ascii="Arial" w:hAnsi="Arial" w:cs="Arial"/>
          <w:bCs/>
          <w:iCs/>
          <w:sz w:val="20"/>
          <w:szCs w:val="20"/>
        </w:rPr>
        <w:t xml:space="preserve"> </w:t>
      </w:r>
      <w:r w:rsidRPr="00EF127E">
        <w:rPr>
          <w:rFonts w:ascii="Arial" w:hAnsi="Arial" w:cs="Arial"/>
          <w:bCs/>
          <w:iCs/>
          <w:sz w:val="20"/>
          <w:szCs w:val="20"/>
        </w:rPr>
        <w:t>calculating the budget requirement. However, there is no specified minimum level of reserves</w:t>
      </w:r>
      <w:r>
        <w:rPr>
          <w:rFonts w:ascii="Arial" w:hAnsi="Arial" w:cs="Arial"/>
          <w:bCs/>
          <w:iCs/>
          <w:sz w:val="20"/>
          <w:szCs w:val="20"/>
        </w:rPr>
        <w:t xml:space="preserve"> </w:t>
      </w:r>
      <w:r w:rsidRPr="00EF127E">
        <w:rPr>
          <w:rFonts w:ascii="Arial" w:hAnsi="Arial" w:cs="Arial"/>
          <w:bCs/>
          <w:iCs/>
          <w:sz w:val="20"/>
          <w:szCs w:val="20"/>
        </w:rPr>
        <w:t>that an authority should hold and it is the responsibility of the Responsible Financial Officer to</w:t>
      </w:r>
      <w:r>
        <w:rPr>
          <w:rFonts w:ascii="Arial" w:hAnsi="Arial" w:cs="Arial"/>
          <w:bCs/>
          <w:iCs/>
          <w:sz w:val="20"/>
          <w:szCs w:val="20"/>
        </w:rPr>
        <w:t xml:space="preserve"> </w:t>
      </w:r>
      <w:r w:rsidRPr="00EF127E">
        <w:rPr>
          <w:rFonts w:ascii="Arial" w:hAnsi="Arial" w:cs="Arial"/>
          <w:bCs/>
          <w:iCs/>
          <w:sz w:val="20"/>
          <w:szCs w:val="20"/>
        </w:rPr>
        <w:t>advise the Council about the level of reserves and to ensure that there are procedures for their</w:t>
      </w:r>
      <w:r>
        <w:rPr>
          <w:rFonts w:ascii="Arial" w:hAnsi="Arial" w:cs="Arial"/>
          <w:bCs/>
          <w:iCs/>
          <w:sz w:val="20"/>
          <w:szCs w:val="20"/>
        </w:rPr>
        <w:t xml:space="preserve"> </w:t>
      </w:r>
      <w:r w:rsidRPr="00EF127E">
        <w:rPr>
          <w:rFonts w:ascii="Arial" w:hAnsi="Arial" w:cs="Arial"/>
          <w:bCs/>
          <w:iCs/>
          <w:sz w:val="20"/>
          <w:szCs w:val="20"/>
        </w:rPr>
        <w:t>establishment and use.</w:t>
      </w:r>
    </w:p>
    <w:p w14:paraId="4A8465CA" w14:textId="77777777" w:rsidR="00EF127E" w:rsidRPr="00EF127E" w:rsidRDefault="00EF127E" w:rsidP="00EF127E">
      <w:pPr>
        <w:spacing w:before="222" w:line="219" w:lineRule="auto"/>
        <w:jc w:val="both"/>
        <w:rPr>
          <w:rFonts w:ascii="Arial" w:hAnsi="Arial" w:cs="Arial"/>
          <w:b/>
          <w:iCs/>
          <w:sz w:val="20"/>
          <w:szCs w:val="20"/>
        </w:rPr>
      </w:pPr>
      <w:r w:rsidRPr="00EF127E">
        <w:rPr>
          <w:rFonts w:ascii="Arial" w:hAnsi="Arial" w:cs="Arial"/>
          <w:b/>
          <w:iCs/>
          <w:sz w:val="20"/>
          <w:szCs w:val="20"/>
        </w:rPr>
        <w:t>Types of Reserves</w:t>
      </w:r>
    </w:p>
    <w:p w14:paraId="5441C7C1" w14:textId="77777777" w:rsidR="00EF127E" w:rsidRPr="00EF127E" w:rsidRDefault="00EF127E" w:rsidP="00EF127E">
      <w:pPr>
        <w:spacing w:before="222" w:line="219" w:lineRule="auto"/>
        <w:jc w:val="both"/>
        <w:rPr>
          <w:rFonts w:ascii="Arial" w:hAnsi="Arial" w:cs="Arial"/>
          <w:bCs/>
          <w:iCs/>
          <w:sz w:val="20"/>
          <w:szCs w:val="20"/>
        </w:rPr>
      </w:pPr>
      <w:r w:rsidRPr="00EF127E">
        <w:rPr>
          <w:rFonts w:ascii="Arial" w:hAnsi="Arial" w:cs="Arial"/>
          <w:bCs/>
          <w:iCs/>
          <w:sz w:val="20"/>
          <w:szCs w:val="20"/>
        </w:rPr>
        <w:t>Reserves can be categorised as general or earmarked.</w:t>
      </w:r>
    </w:p>
    <w:p w14:paraId="7A991AFD" w14:textId="77777777" w:rsidR="00EF127E" w:rsidRPr="00EF127E" w:rsidRDefault="00EF127E" w:rsidP="00EF127E">
      <w:pPr>
        <w:spacing w:before="222" w:line="219" w:lineRule="auto"/>
        <w:jc w:val="both"/>
        <w:rPr>
          <w:rFonts w:ascii="Arial" w:hAnsi="Arial" w:cs="Arial"/>
          <w:bCs/>
          <w:iCs/>
          <w:sz w:val="20"/>
          <w:szCs w:val="20"/>
        </w:rPr>
      </w:pPr>
      <w:r w:rsidRPr="00EF127E">
        <w:rPr>
          <w:rFonts w:ascii="Arial" w:hAnsi="Arial" w:cs="Arial"/>
          <w:bCs/>
          <w:iCs/>
          <w:sz w:val="20"/>
          <w:szCs w:val="20"/>
        </w:rPr>
        <w:t>Earmarked reserves can be held for several reasons:</w:t>
      </w:r>
    </w:p>
    <w:p w14:paraId="601C7C13" w14:textId="77777777" w:rsidR="00EF127E" w:rsidRDefault="00EF127E" w:rsidP="00EF127E">
      <w:pPr>
        <w:pStyle w:val="ListParagraph"/>
        <w:numPr>
          <w:ilvl w:val="0"/>
          <w:numId w:val="2"/>
        </w:numPr>
        <w:spacing w:before="222" w:line="219" w:lineRule="auto"/>
        <w:jc w:val="both"/>
        <w:rPr>
          <w:rFonts w:ascii="Arial" w:hAnsi="Arial" w:cs="Arial"/>
          <w:bCs/>
          <w:iCs/>
          <w:sz w:val="20"/>
          <w:szCs w:val="20"/>
        </w:rPr>
      </w:pPr>
      <w:r w:rsidRPr="00EF127E">
        <w:rPr>
          <w:rFonts w:ascii="Arial" w:hAnsi="Arial" w:cs="Arial"/>
          <w:bCs/>
          <w:iCs/>
          <w:sz w:val="20"/>
          <w:szCs w:val="20"/>
        </w:rPr>
        <w:t>Renewals – to enable services to plan and finance an effective programme of vehicle, equipment and infrastructure replacement and planned property maintenance. These reserves are a mechanism to smooth expenditure so that a sensible replacement programme can be achieved without the need to vary budgets.</w:t>
      </w:r>
    </w:p>
    <w:p w14:paraId="0570ABBB" w14:textId="77777777" w:rsidR="00EF127E" w:rsidRDefault="00EF127E" w:rsidP="00EF127E">
      <w:pPr>
        <w:pStyle w:val="ListParagraph"/>
        <w:numPr>
          <w:ilvl w:val="0"/>
          <w:numId w:val="2"/>
        </w:numPr>
        <w:spacing w:before="222" w:line="219" w:lineRule="auto"/>
        <w:jc w:val="both"/>
        <w:rPr>
          <w:rFonts w:ascii="Arial" w:hAnsi="Arial" w:cs="Arial"/>
          <w:bCs/>
          <w:iCs/>
          <w:sz w:val="20"/>
          <w:szCs w:val="20"/>
        </w:rPr>
      </w:pPr>
      <w:r w:rsidRPr="00EF127E">
        <w:rPr>
          <w:rFonts w:ascii="Arial" w:hAnsi="Arial" w:cs="Arial"/>
          <w:bCs/>
          <w:iCs/>
          <w:sz w:val="20"/>
          <w:szCs w:val="20"/>
        </w:rPr>
        <w:t>Carry forward of underspend - some services commit expenditure to projects, but cannot spend the budget in year. Reserves are used as a mechanism to carry forward these resources.</w:t>
      </w:r>
    </w:p>
    <w:p w14:paraId="45F77E38" w14:textId="77777777" w:rsidR="00EF127E" w:rsidRDefault="00EF127E" w:rsidP="00EF127E">
      <w:pPr>
        <w:pStyle w:val="ListParagraph"/>
        <w:numPr>
          <w:ilvl w:val="0"/>
          <w:numId w:val="2"/>
        </w:numPr>
        <w:spacing w:before="222" w:line="219" w:lineRule="auto"/>
        <w:jc w:val="both"/>
        <w:rPr>
          <w:rFonts w:ascii="Arial" w:hAnsi="Arial" w:cs="Arial"/>
          <w:bCs/>
          <w:iCs/>
          <w:sz w:val="20"/>
          <w:szCs w:val="20"/>
        </w:rPr>
      </w:pPr>
      <w:r w:rsidRPr="00EF127E">
        <w:rPr>
          <w:rFonts w:ascii="Arial" w:hAnsi="Arial" w:cs="Arial"/>
          <w:bCs/>
          <w:iCs/>
          <w:sz w:val="20"/>
          <w:szCs w:val="20"/>
        </w:rPr>
        <w:t>Insurance reserve – to enable the Council to meet the excesses of claims not covered by insurance.</w:t>
      </w:r>
    </w:p>
    <w:p w14:paraId="3F5EA1C4" w14:textId="77777777" w:rsidR="00EF127E" w:rsidRDefault="00EF127E" w:rsidP="00EF127E">
      <w:pPr>
        <w:pStyle w:val="ListParagraph"/>
        <w:numPr>
          <w:ilvl w:val="0"/>
          <w:numId w:val="2"/>
        </w:numPr>
        <w:spacing w:before="222" w:line="219" w:lineRule="auto"/>
        <w:jc w:val="both"/>
        <w:rPr>
          <w:rFonts w:ascii="Arial" w:hAnsi="Arial" w:cs="Arial"/>
          <w:bCs/>
          <w:iCs/>
          <w:sz w:val="20"/>
          <w:szCs w:val="20"/>
        </w:rPr>
      </w:pPr>
      <w:r w:rsidRPr="00EF127E">
        <w:rPr>
          <w:rFonts w:ascii="Arial" w:hAnsi="Arial" w:cs="Arial"/>
          <w:bCs/>
          <w:iCs/>
          <w:sz w:val="20"/>
          <w:szCs w:val="20"/>
        </w:rPr>
        <w:t>Other earmarked reserves may be set up from time to time to meet known or predicted liabilities.</w:t>
      </w:r>
    </w:p>
    <w:p w14:paraId="64B56C4C" w14:textId="5D7E5B52" w:rsidR="00EF127E" w:rsidRPr="00EF127E" w:rsidRDefault="00EF127E" w:rsidP="00EF127E">
      <w:pPr>
        <w:pStyle w:val="ListParagraph"/>
        <w:numPr>
          <w:ilvl w:val="0"/>
          <w:numId w:val="2"/>
        </w:numPr>
        <w:spacing w:before="222" w:line="219" w:lineRule="auto"/>
        <w:jc w:val="both"/>
        <w:rPr>
          <w:rFonts w:ascii="Arial" w:hAnsi="Arial" w:cs="Arial"/>
          <w:bCs/>
          <w:iCs/>
          <w:sz w:val="20"/>
          <w:szCs w:val="20"/>
        </w:rPr>
      </w:pPr>
      <w:r w:rsidRPr="00EF127E">
        <w:rPr>
          <w:rFonts w:ascii="Arial" w:hAnsi="Arial" w:cs="Arial"/>
          <w:bCs/>
          <w:iCs/>
          <w:sz w:val="20"/>
          <w:szCs w:val="20"/>
        </w:rPr>
        <w:t>General Reserves are funds which do not have any restrictions as to their use. These reserves can be used to smooth the impact of uneven cash flows, offset the budget requirement if necessary or can be held in case of unexpected events or emergencies.</w:t>
      </w:r>
    </w:p>
    <w:p w14:paraId="1F0899AB" w14:textId="77777777" w:rsidR="00EF127E" w:rsidRPr="00EF127E" w:rsidRDefault="00EF127E" w:rsidP="00EF127E">
      <w:pPr>
        <w:spacing w:before="222" w:line="219" w:lineRule="auto"/>
        <w:jc w:val="both"/>
        <w:rPr>
          <w:rFonts w:ascii="Arial" w:hAnsi="Arial" w:cs="Arial"/>
          <w:b/>
          <w:iCs/>
          <w:sz w:val="20"/>
          <w:szCs w:val="20"/>
        </w:rPr>
      </w:pPr>
      <w:r w:rsidRPr="00EF127E">
        <w:rPr>
          <w:rFonts w:ascii="Arial" w:hAnsi="Arial" w:cs="Arial"/>
          <w:b/>
          <w:iCs/>
          <w:sz w:val="20"/>
          <w:szCs w:val="20"/>
        </w:rPr>
        <w:t>Earmarked Reserves</w:t>
      </w:r>
    </w:p>
    <w:p w14:paraId="0B38AC28" w14:textId="44C8FD11" w:rsidR="00EF127E" w:rsidRPr="00EF127E" w:rsidRDefault="00EF127E" w:rsidP="00EF127E">
      <w:pPr>
        <w:spacing w:before="222" w:line="219" w:lineRule="auto"/>
        <w:jc w:val="both"/>
        <w:rPr>
          <w:rFonts w:ascii="Arial" w:hAnsi="Arial" w:cs="Arial"/>
          <w:bCs/>
          <w:iCs/>
          <w:sz w:val="20"/>
          <w:szCs w:val="20"/>
        </w:rPr>
      </w:pPr>
      <w:r w:rsidRPr="00EF127E">
        <w:rPr>
          <w:rFonts w:ascii="Arial" w:hAnsi="Arial" w:cs="Arial"/>
          <w:bCs/>
          <w:iCs/>
          <w:sz w:val="20"/>
          <w:szCs w:val="20"/>
        </w:rPr>
        <w:t>Earmarked reserves will be established on a “needs” basis, in line with anticipated</w:t>
      </w:r>
      <w:r>
        <w:rPr>
          <w:rFonts w:ascii="Arial" w:hAnsi="Arial" w:cs="Arial"/>
          <w:bCs/>
          <w:iCs/>
          <w:sz w:val="20"/>
          <w:szCs w:val="20"/>
        </w:rPr>
        <w:t xml:space="preserve"> </w:t>
      </w:r>
      <w:r w:rsidRPr="00EF127E">
        <w:rPr>
          <w:rFonts w:ascii="Arial" w:hAnsi="Arial" w:cs="Arial"/>
          <w:bCs/>
          <w:iCs/>
          <w:sz w:val="20"/>
          <w:szCs w:val="20"/>
        </w:rPr>
        <w:t>requirements.</w:t>
      </w:r>
    </w:p>
    <w:p w14:paraId="31267B41" w14:textId="19B81B95" w:rsidR="00EF127E" w:rsidRPr="00EF127E" w:rsidRDefault="00EF127E" w:rsidP="00EF127E">
      <w:pPr>
        <w:spacing w:before="222" w:line="219" w:lineRule="auto"/>
        <w:jc w:val="both"/>
        <w:rPr>
          <w:rFonts w:ascii="Arial" w:hAnsi="Arial" w:cs="Arial"/>
          <w:bCs/>
          <w:iCs/>
          <w:sz w:val="20"/>
          <w:szCs w:val="20"/>
        </w:rPr>
      </w:pPr>
      <w:r w:rsidRPr="00EF127E">
        <w:rPr>
          <w:rFonts w:ascii="Arial" w:hAnsi="Arial" w:cs="Arial"/>
          <w:bCs/>
          <w:iCs/>
          <w:sz w:val="20"/>
          <w:szCs w:val="20"/>
        </w:rPr>
        <w:t>Any decision to set up a reserve must be made by the Council.</w:t>
      </w:r>
      <w:r>
        <w:rPr>
          <w:rFonts w:ascii="Arial" w:hAnsi="Arial" w:cs="Arial"/>
          <w:bCs/>
          <w:iCs/>
          <w:sz w:val="20"/>
          <w:szCs w:val="20"/>
        </w:rPr>
        <w:t xml:space="preserve"> </w:t>
      </w:r>
      <w:r w:rsidRPr="00EF127E">
        <w:rPr>
          <w:rFonts w:ascii="Arial" w:hAnsi="Arial" w:cs="Arial"/>
          <w:bCs/>
          <w:iCs/>
          <w:sz w:val="20"/>
          <w:szCs w:val="20"/>
        </w:rPr>
        <w:t>Expenditure from reserves can only be authorised by the Council.</w:t>
      </w:r>
    </w:p>
    <w:p w14:paraId="4BECC4A5" w14:textId="41B61924" w:rsidR="00EF127E" w:rsidRPr="00EF127E" w:rsidRDefault="00EF127E" w:rsidP="00EF127E">
      <w:pPr>
        <w:spacing w:before="222" w:line="219" w:lineRule="auto"/>
        <w:jc w:val="both"/>
        <w:rPr>
          <w:rFonts w:ascii="Arial" w:hAnsi="Arial" w:cs="Arial"/>
          <w:bCs/>
          <w:iCs/>
          <w:sz w:val="20"/>
          <w:szCs w:val="20"/>
        </w:rPr>
      </w:pPr>
      <w:r w:rsidRPr="00EF127E">
        <w:rPr>
          <w:rFonts w:ascii="Arial" w:hAnsi="Arial" w:cs="Arial"/>
          <w:bCs/>
          <w:iCs/>
          <w:sz w:val="20"/>
          <w:szCs w:val="20"/>
        </w:rPr>
        <w:t>Reserves should not be held to fund on-going expenditure. This would be unsustainable as, at</w:t>
      </w:r>
      <w:r>
        <w:rPr>
          <w:rFonts w:ascii="Arial" w:hAnsi="Arial" w:cs="Arial"/>
          <w:bCs/>
          <w:iCs/>
          <w:sz w:val="20"/>
          <w:szCs w:val="20"/>
        </w:rPr>
        <w:t xml:space="preserve"> </w:t>
      </w:r>
      <w:r w:rsidRPr="00EF127E">
        <w:rPr>
          <w:rFonts w:ascii="Arial" w:hAnsi="Arial" w:cs="Arial"/>
          <w:bCs/>
          <w:iCs/>
          <w:sz w:val="20"/>
          <w:szCs w:val="20"/>
        </w:rPr>
        <w:t>some point, the reserves would be exhausted. To the extent that reserves are used to meet</w:t>
      </w:r>
      <w:r>
        <w:rPr>
          <w:rFonts w:ascii="Arial" w:hAnsi="Arial" w:cs="Arial"/>
          <w:bCs/>
          <w:iCs/>
          <w:sz w:val="20"/>
          <w:szCs w:val="20"/>
        </w:rPr>
        <w:t xml:space="preserve"> </w:t>
      </w:r>
      <w:r w:rsidRPr="00EF127E">
        <w:rPr>
          <w:rFonts w:ascii="Arial" w:hAnsi="Arial" w:cs="Arial"/>
          <w:bCs/>
          <w:iCs/>
          <w:sz w:val="20"/>
          <w:szCs w:val="20"/>
        </w:rPr>
        <w:t>short term funding gaps, they must be replenished in the following year. However, earmarked</w:t>
      </w:r>
      <w:r>
        <w:rPr>
          <w:rFonts w:ascii="Arial" w:hAnsi="Arial" w:cs="Arial"/>
          <w:bCs/>
          <w:iCs/>
          <w:sz w:val="20"/>
          <w:szCs w:val="20"/>
        </w:rPr>
        <w:t xml:space="preserve"> </w:t>
      </w:r>
      <w:r w:rsidRPr="00EF127E">
        <w:rPr>
          <w:rFonts w:ascii="Arial" w:hAnsi="Arial" w:cs="Arial"/>
          <w:bCs/>
          <w:iCs/>
          <w:sz w:val="20"/>
          <w:szCs w:val="20"/>
        </w:rPr>
        <w:t>reserves that have been used to meet a specific liability would not need to be replenished,</w:t>
      </w:r>
      <w:r>
        <w:rPr>
          <w:rFonts w:ascii="Arial" w:hAnsi="Arial" w:cs="Arial"/>
          <w:bCs/>
          <w:iCs/>
          <w:sz w:val="20"/>
          <w:szCs w:val="20"/>
        </w:rPr>
        <w:t xml:space="preserve"> </w:t>
      </w:r>
      <w:r w:rsidRPr="00EF127E">
        <w:rPr>
          <w:rFonts w:ascii="Arial" w:hAnsi="Arial" w:cs="Arial"/>
          <w:bCs/>
          <w:iCs/>
          <w:sz w:val="20"/>
          <w:szCs w:val="20"/>
        </w:rPr>
        <w:t>having served the purpose for which they were originally established.</w:t>
      </w:r>
    </w:p>
    <w:p w14:paraId="3287BD76" w14:textId="52D84E0C" w:rsidR="00EF127E" w:rsidRPr="00EF127E" w:rsidRDefault="00EF127E" w:rsidP="00EF127E">
      <w:pPr>
        <w:spacing w:before="222" w:line="219" w:lineRule="auto"/>
        <w:jc w:val="both"/>
        <w:rPr>
          <w:rFonts w:ascii="Arial" w:hAnsi="Arial" w:cs="Arial"/>
          <w:bCs/>
          <w:iCs/>
          <w:sz w:val="20"/>
          <w:szCs w:val="20"/>
        </w:rPr>
      </w:pPr>
      <w:r w:rsidRPr="00EF127E">
        <w:rPr>
          <w:rFonts w:ascii="Arial" w:hAnsi="Arial" w:cs="Arial"/>
          <w:bCs/>
          <w:iCs/>
          <w:sz w:val="20"/>
          <w:szCs w:val="20"/>
        </w:rPr>
        <w:t>All Earmarked Reserves are recorded on a central schedule held by the Responsible Financial</w:t>
      </w:r>
      <w:r>
        <w:rPr>
          <w:rFonts w:ascii="Arial" w:hAnsi="Arial" w:cs="Arial"/>
          <w:bCs/>
          <w:iCs/>
          <w:sz w:val="20"/>
          <w:szCs w:val="20"/>
        </w:rPr>
        <w:t xml:space="preserve"> </w:t>
      </w:r>
      <w:r w:rsidRPr="00EF127E">
        <w:rPr>
          <w:rFonts w:ascii="Arial" w:hAnsi="Arial" w:cs="Arial"/>
          <w:bCs/>
          <w:iCs/>
          <w:sz w:val="20"/>
          <w:szCs w:val="20"/>
        </w:rPr>
        <w:t>Officer which lists the various Earmarked Reserves and the purpose for which they are held.</w:t>
      </w:r>
    </w:p>
    <w:p w14:paraId="565DCEA9" w14:textId="400B93B4" w:rsidR="00EF127E" w:rsidRPr="00EF127E" w:rsidRDefault="00EF127E" w:rsidP="00EF127E">
      <w:pPr>
        <w:spacing w:before="222" w:line="219" w:lineRule="auto"/>
        <w:jc w:val="both"/>
        <w:rPr>
          <w:rFonts w:ascii="Arial" w:hAnsi="Arial" w:cs="Arial"/>
          <w:bCs/>
          <w:iCs/>
          <w:sz w:val="20"/>
          <w:szCs w:val="20"/>
        </w:rPr>
      </w:pPr>
      <w:r w:rsidRPr="00EF127E">
        <w:rPr>
          <w:rFonts w:ascii="Arial" w:hAnsi="Arial" w:cs="Arial"/>
          <w:bCs/>
          <w:iCs/>
          <w:sz w:val="20"/>
          <w:szCs w:val="20"/>
        </w:rPr>
        <w:t>Reviewing the Council’s Financial Risk Assessment is part of the budgeting and year end</w:t>
      </w:r>
      <w:r>
        <w:rPr>
          <w:rFonts w:ascii="Arial" w:hAnsi="Arial" w:cs="Arial"/>
          <w:bCs/>
          <w:iCs/>
          <w:sz w:val="20"/>
          <w:szCs w:val="20"/>
        </w:rPr>
        <w:t xml:space="preserve"> </w:t>
      </w:r>
      <w:r w:rsidRPr="00EF127E">
        <w:rPr>
          <w:rFonts w:ascii="Arial" w:hAnsi="Arial" w:cs="Arial"/>
          <w:bCs/>
          <w:iCs/>
          <w:sz w:val="20"/>
          <w:szCs w:val="20"/>
        </w:rPr>
        <w:t>accounting procedures and identifies planned and unplanned expenditure items and thereby</w:t>
      </w:r>
      <w:r>
        <w:rPr>
          <w:rFonts w:ascii="Arial" w:hAnsi="Arial" w:cs="Arial"/>
          <w:bCs/>
          <w:iCs/>
          <w:sz w:val="20"/>
          <w:szCs w:val="20"/>
        </w:rPr>
        <w:t xml:space="preserve"> </w:t>
      </w:r>
      <w:r w:rsidRPr="00EF127E">
        <w:rPr>
          <w:rFonts w:ascii="Arial" w:hAnsi="Arial" w:cs="Arial"/>
          <w:bCs/>
          <w:iCs/>
          <w:sz w:val="20"/>
          <w:szCs w:val="20"/>
        </w:rPr>
        <w:t>indicates an appropriate level of Reserves.</w:t>
      </w:r>
    </w:p>
    <w:p w14:paraId="67CE1DAE" w14:textId="77777777" w:rsidR="00EF127E" w:rsidRPr="00EF127E" w:rsidRDefault="00EF127E" w:rsidP="00EF127E">
      <w:pPr>
        <w:spacing w:before="222" w:line="219" w:lineRule="auto"/>
        <w:jc w:val="both"/>
        <w:rPr>
          <w:rFonts w:ascii="Arial" w:hAnsi="Arial" w:cs="Arial"/>
          <w:b/>
          <w:iCs/>
          <w:sz w:val="20"/>
          <w:szCs w:val="20"/>
        </w:rPr>
      </w:pPr>
      <w:r w:rsidRPr="00EF127E">
        <w:rPr>
          <w:rFonts w:ascii="Arial" w:hAnsi="Arial" w:cs="Arial"/>
          <w:b/>
          <w:iCs/>
          <w:sz w:val="20"/>
          <w:szCs w:val="20"/>
        </w:rPr>
        <w:t>General Reserves</w:t>
      </w:r>
    </w:p>
    <w:p w14:paraId="0C1B0FF1" w14:textId="6775DA8C" w:rsidR="00EF127E" w:rsidRPr="00EF127E" w:rsidRDefault="00EF127E" w:rsidP="00EF127E">
      <w:pPr>
        <w:spacing w:before="222" w:line="219" w:lineRule="auto"/>
        <w:jc w:val="both"/>
        <w:rPr>
          <w:rFonts w:ascii="Arial" w:hAnsi="Arial" w:cs="Arial"/>
          <w:bCs/>
          <w:iCs/>
          <w:sz w:val="20"/>
          <w:szCs w:val="20"/>
        </w:rPr>
      </w:pPr>
      <w:r w:rsidRPr="00EF127E">
        <w:rPr>
          <w:rFonts w:ascii="Arial" w:hAnsi="Arial" w:cs="Arial"/>
          <w:bCs/>
          <w:iCs/>
          <w:sz w:val="20"/>
          <w:szCs w:val="20"/>
        </w:rPr>
        <w:t>The level of General Reserves is a matter of judgement and so this policy does not attempt to</w:t>
      </w:r>
      <w:r>
        <w:rPr>
          <w:rFonts w:ascii="Arial" w:hAnsi="Arial" w:cs="Arial"/>
          <w:bCs/>
          <w:iCs/>
          <w:sz w:val="20"/>
          <w:szCs w:val="20"/>
        </w:rPr>
        <w:t xml:space="preserve"> </w:t>
      </w:r>
      <w:r w:rsidRPr="00EF127E">
        <w:rPr>
          <w:rFonts w:ascii="Arial" w:hAnsi="Arial" w:cs="Arial"/>
          <w:bCs/>
          <w:iCs/>
          <w:sz w:val="20"/>
          <w:szCs w:val="20"/>
        </w:rPr>
        <w:t>prescribe a blanket level. The primary means of building general reserves will be through an</w:t>
      </w:r>
      <w:r>
        <w:rPr>
          <w:rFonts w:ascii="Arial" w:hAnsi="Arial" w:cs="Arial"/>
          <w:bCs/>
          <w:iCs/>
          <w:sz w:val="20"/>
          <w:szCs w:val="20"/>
        </w:rPr>
        <w:t xml:space="preserve"> </w:t>
      </w:r>
      <w:r w:rsidRPr="00EF127E">
        <w:rPr>
          <w:rFonts w:ascii="Arial" w:hAnsi="Arial" w:cs="Arial"/>
          <w:bCs/>
          <w:iCs/>
          <w:sz w:val="20"/>
          <w:szCs w:val="20"/>
        </w:rPr>
        <w:t>allocation from the annual budget. This will be in addition to any amounts needed to replenish</w:t>
      </w:r>
      <w:r>
        <w:rPr>
          <w:rFonts w:ascii="Arial" w:hAnsi="Arial" w:cs="Arial"/>
          <w:bCs/>
          <w:iCs/>
          <w:sz w:val="20"/>
          <w:szCs w:val="20"/>
        </w:rPr>
        <w:t xml:space="preserve"> </w:t>
      </w:r>
      <w:r w:rsidRPr="00EF127E">
        <w:rPr>
          <w:rFonts w:ascii="Arial" w:hAnsi="Arial" w:cs="Arial"/>
          <w:bCs/>
          <w:iCs/>
          <w:sz w:val="20"/>
          <w:szCs w:val="20"/>
        </w:rPr>
        <w:t>reserves that have been consumed in the previous year.</w:t>
      </w:r>
    </w:p>
    <w:p w14:paraId="054A4BCC" w14:textId="71C934A2" w:rsidR="00EF127E" w:rsidRPr="00EF127E" w:rsidRDefault="00EF127E" w:rsidP="00EF127E">
      <w:pPr>
        <w:spacing w:before="222" w:line="219" w:lineRule="auto"/>
        <w:jc w:val="both"/>
        <w:rPr>
          <w:rFonts w:ascii="Arial" w:hAnsi="Arial" w:cs="Arial"/>
          <w:bCs/>
          <w:iCs/>
          <w:sz w:val="20"/>
          <w:szCs w:val="20"/>
        </w:rPr>
      </w:pPr>
      <w:r w:rsidRPr="00EF127E">
        <w:rPr>
          <w:rFonts w:ascii="Arial" w:hAnsi="Arial" w:cs="Arial"/>
          <w:bCs/>
          <w:iCs/>
          <w:sz w:val="20"/>
          <w:szCs w:val="20"/>
        </w:rPr>
        <w:t>Setting the level of General Reserves is one of several related decisions in the formulation of</w:t>
      </w:r>
      <w:r>
        <w:rPr>
          <w:rFonts w:ascii="Arial" w:hAnsi="Arial" w:cs="Arial"/>
          <w:bCs/>
          <w:iCs/>
          <w:sz w:val="20"/>
          <w:szCs w:val="20"/>
        </w:rPr>
        <w:t xml:space="preserve"> </w:t>
      </w:r>
      <w:r w:rsidRPr="00EF127E">
        <w:rPr>
          <w:rFonts w:ascii="Arial" w:hAnsi="Arial" w:cs="Arial"/>
          <w:bCs/>
          <w:iCs/>
          <w:sz w:val="20"/>
          <w:szCs w:val="20"/>
        </w:rPr>
        <w:t>the medium-term financial strategy and the annual budget. The Council must build and</w:t>
      </w:r>
      <w:r>
        <w:rPr>
          <w:rFonts w:ascii="Arial" w:hAnsi="Arial" w:cs="Arial"/>
          <w:bCs/>
          <w:iCs/>
          <w:sz w:val="20"/>
          <w:szCs w:val="20"/>
        </w:rPr>
        <w:t xml:space="preserve"> </w:t>
      </w:r>
      <w:r w:rsidRPr="00EF127E">
        <w:rPr>
          <w:rFonts w:ascii="Arial" w:hAnsi="Arial" w:cs="Arial"/>
          <w:bCs/>
          <w:iCs/>
          <w:sz w:val="20"/>
          <w:szCs w:val="20"/>
        </w:rPr>
        <w:t xml:space="preserve">maintain sufficient working </w:t>
      </w:r>
      <w:r w:rsidRPr="00EF127E">
        <w:rPr>
          <w:rFonts w:ascii="Arial" w:hAnsi="Arial" w:cs="Arial"/>
          <w:bCs/>
          <w:iCs/>
          <w:sz w:val="20"/>
          <w:szCs w:val="20"/>
        </w:rPr>
        <w:lastRenderedPageBreak/>
        <w:t>balances to cover the key risks it faces, as expressed in its financial</w:t>
      </w:r>
      <w:r>
        <w:rPr>
          <w:rFonts w:ascii="Arial" w:hAnsi="Arial" w:cs="Arial"/>
          <w:bCs/>
          <w:iCs/>
          <w:sz w:val="20"/>
          <w:szCs w:val="20"/>
        </w:rPr>
        <w:t xml:space="preserve"> </w:t>
      </w:r>
      <w:r w:rsidRPr="00EF127E">
        <w:rPr>
          <w:rFonts w:ascii="Arial" w:hAnsi="Arial" w:cs="Arial"/>
          <w:bCs/>
          <w:iCs/>
          <w:sz w:val="20"/>
          <w:szCs w:val="20"/>
        </w:rPr>
        <w:t>risk assessment.</w:t>
      </w:r>
    </w:p>
    <w:p w14:paraId="1F886005" w14:textId="154C0EC2" w:rsidR="00EF127E" w:rsidRPr="00EF127E" w:rsidRDefault="00EF127E" w:rsidP="00EF127E">
      <w:pPr>
        <w:spacing w:before="222" w:line="219" w:lineRule="auto"/>
        <w:jc w:val="both"/>
        <w:rPr>
          <w:rFonts w:ascii="Arial" w:hAnsi="Arial" w:cs="Arial"/>
          <w:bCs/>
          <w:iCs/>
          <w:sz w:val="20"/>
          <w:szCs w:val="20"/>
        </w:rPr>
      </w:pPr>
      <w:r w:rsidRPr="00EF127E">
        <w:rPr>
          <w:rFonts w:ascii="Arial" w:hAnsi="Arial" w:cs="Arial"/>
          <w:bCs/>
          <w:iCs/>
          <w:sz w:val="20"/>
          <w:szCs w:val="20"/>
        </w:rPr>
        <w:t>If in extreme circumstances General Reserves were exhausted due to major unforeseen</w:t>
      </w:r>
      <w:r>
        <w:rPr>
          <w:rFonts w:ascii="Arial" w:hAnsi="Arial" w:cs="Arial"/>
          <w:bCs/>
          <w:iCs/>
          <w:sz w:val="20"/>
          <w:szCs w:val="20"/>
        </w:rPr>
        <w:t xml:space="preserve"> </w:t>
      </w:r>
      <w:r w:rsidRPr="00EF127E">
        <w:rPr>
          <w:rFonts w:ascii="Arial" w:hAnsi="Arial" w:cs="Arial"/>
          <w:bCs/>
          <w:iCs/>
          <w:sz w:val="20"/>
          <w:szCs w:val="20"/>
        </w:rPr>
        <w:t>spending pressures within a particular financial year, the Council would be able to draw down</w:t>
      </w:r>
      <w:r>
        <w:rPr>
          <w:rFonts w:ascii="Arial" w:hAnsi="Arial" w:cs="Arial"/>
          <w:bCs/>
          <w:iCs/>
          <w:sz w:val="20"/>
          <w:szCs w:val="20"/>
        </w:rPr>
        <w:t xml:space="preserve"> </w:t>
      </w:r>
      <w:r w:rsidRPr="00EF127E">
        <w:rPr>
          <w:rFonts w:ascii="Arial" w:hAnsi="Arial" w:cs="Arial"/>
          <w:bCs/>
          <w:iCs/>
          <w:sz w:val="20"/>
          <w:szCs w:val="20"/>
        </w:rPr>
        <w:t>from its earmarked reserves to provide short term resources.</w:t>
      </w:r>
    </w:p>
    <w:p w14:paraId="1C1FAD9B" w14:textId="5AA71F5E" w:rsidR="00EF127E" w:rsidRPr="00EF127E" w:rsidRDefault="00EF127E" w:rsidP="00EF127E">
      <w:pPr>
        <w:spacing w:before="222" w:line="219" w:lineRule="auto"/>
        <w:jc w:val="both"/>
        <w:rPr>
          <w:rFonts w:ascii="Arial" w:hAnsi="Arial" w:cs="Arial"/>
          <w:bCs/>
          <w:iCs/>
          <w:sz w:val="20"/>
          <w:szCs w:val="20"/>
        </w:rPr>
      </w:pPr>
      <w:r w:rsidRPr="00EF127E">
        <w:rPr>
          <w:rFonts w:ascii="Arial" w:hAnsi="Arial" w:cs="Arial"/>
          <w:bCs/>
          <w:iCs/>
          <w:sz w:val="20"/>
          <w:szCs w:val="20"/>
        </w:rPr>
        <w:t>Even at times when extreme pressure is put on the Council’s finances the Council must keep a</w:t>
      </w:r>
      <w:r>
        <w:rPr>
          <w:rFonts w:ascii="Arial" w:hAnsi="Arial" w:cs="Arial"/>
          <w:bCs/>
          <w:iCs/>
          <w:sz w:val="20"/>
          <w:szCs w:val="20"/>
        </w:rPr>
        <w:t xml:space="preserve"> </w:t>
      </w:r>
      <w:r w:rsidRPr="00EF127E">
        <w:rPr>
          <w:rFonts w:ascii="Arial" w:hAnsi="Arial" w:cs="Arial"/>
          <w:bCs/>
          <w:iCs/>
          <w:sz w:val="20"/>
          <w:szCs w:val="20"/>
        </w:rPr>
        <w:t>minimum balance sufficient to pay one month’s salaries to staff in General Reserves at all</w:t>
      </w:r>
      <w:r>
        <w:rPr>
          <w:rFonts w:ascii="Arial" w:hAnsi="Arial" w:cs="Arial"/>
          <w:bCs/>
          <w:iCs/>
          <w:sz w:val="20"/>
          <w:szCs w:val="20"/>
        </w:rPr>
        <w:t xml:space="preserve"> </w:t>
      </w:r>
      <w:r w:rsidRPr="00EF127E">
        <w:rPr>
          <w:rFonts w:ascii="Arial" w:hAnsi="Arial" w:cs="Arial"/>
          <w:bCs/>
          <w:iCs/>
          <w:sz w:val="20"/>
          <w:szCs w:val="20"/>
        </w:rPr>
        <w:t>times.</w:t>
      </w:r>
    </w:p>
    <w:p w14:paraId="0653CAD6" w14:textId="4B69B212" w:rsidR="00EF127E" w:rsidRPr="00EF127E" w:rsidRDefault="00EF127E" w:rsidP="00EF127E">
      <w:pPr>
        <w:spacing w:before="222" w:line="219" w:lineRule="auto"/>
        <w:jc w:val="both"/>
        <w:rPr>
          <w:rFonts w:ascii="Arial" w:hAnsi="Arial" w:cs="Arial"/>
          <w:b/>
          <w:iCs/>
          <w:sz w:val="20"/>
          <w:szCs w:val="20"/>
        </w:rPr>
      </w:pPr>
      <w:r w:rsidRPr="00EF127E">
        <w:rPr>
          <w:rFonts w:ascii="Arial" w:hAnsi="Arial" w:cs="Arial"/>
          <w:b/>
          <w:iCs/>
          <w:sz w:val="20"/>
          <w:szCs w:val="20"/>
        </w:rPr>
        <w:t>Opportunity Cost of Holding Reserves</w:t>
      </w:r>
    </w:p>
    <w:p w14:paraId="1D520CE9" w14:textId="74838836" w:rsidR="00EF127E" w:rsidRPr="00EF127E" w:rsidRDefault="00EF127E" w:rsidP="00EF127E">
      <w:pPr>
        <w:spacing w:before="222" w:line="219" w:lineRule="auto"/>
        <w:jc w:val="both"/>
        <w:rPr>
          <w:rFonts w:ascii="Arial" w:hAnsi="Arial" w:cs="Arial"/>
          <w:bCs/>
          <w:iCs/>
          <w:sz w:val="20"/>
          <w:szCs w:val="20"/>
        </w:rPr>
      </w:pPr>
      <w:r w:rsidRPr="00EF127E">
        <w:rPr>
          <w:rFonts w:ascii="Arial" w:hAnsi="Arial" w:cs="Arial"/>
          <w:bCs/>
          <w:iCs/>
          <w:sz w:val="20"/>
          <w:szCs w:val="20"/>
        </w:rPr>
        <w:t>In addition to allowing the Council to manage unforeseen financial pressures and plan for</w:t>
      </w:r>
      <w:r>
        <w:rPr>
          <w:rFonts w:ascii="Arial" w:hAnsi="Arial" w:cs="Arial"/>
          <w:bCs/>
          <w:iCs/>
          <w:sz w:val="20"/>
          <w:szCs w:val="20"/>
        </w:rPr>
        <w:t xml:space="preserve"> </w:t>
      </w:r>
      <w:r w:rsidRPr="00EF127E">
        <w:rPr>
          <w:rFonts w:ascii="Arial" w:hAnsi="Arial" w:cs="Arial"/>
          <w:bCs/>
          <w:iCs/>
          <w:sz w:val="20"/>
          <w:szCs w:val="20"/>
        </w:rPr>
        <w:t>known or predicted liabilities, there is a benefit to holding reserves in terms of the interest</w:t>
      </w:r>
      <w:r>
        <w:rPr>
          <w:rFonts w:ascii="Arial" w:hAnsi="Arial" w:cs="Arial"/>
          <w:bCs/>
          <w:iCs/>
          <w:sz w:val="20"/>
          <w:szCs w:val="20"/>
        </w:rPr>
        <w:t xml:space="preserve"> </w:t>
      </w:r>
      <w:r w:rsidRPr="00EF127E">
        <w:rPr>
          <w:rFonts w:ascii="Arial" w:hAnsi="Arial" w:cs="Arial"/>
          <w:bCs/>
          <w:iCs/>
          <w:sz w:val="20"/>
          <w:szCs w:val="20"/>
        </w:rPr>
        <w:t>earned on funds which are not utilised. This investment income is fed into the budget strategy.</w:t>
      </w:r>
    </w:p>
    <w:p w14:paraId="7D1471ED" w14:textId="7EE4FB53" w:rsidR="00EF127E" w:rsidRPr="00EF127E" w:rsidRDefault="00EF127E" w:rsidP="00EF127E">
      <w:pPr>
        <w:spacing w:before="222" w:line="219" w:lineRule="auto"/>
        <w:jc w:val="both"/>
        <w:rPr>
          <w:rFonts w:ascii="Arial" w:hAnsi="Arial" w:cs="Arial"/>
          <w:bCs/>
          <w:iCs/>
          <w:sz w:val="20"/>
          <w:szCs w:val="20"/>
        </w:rPr>
      </w:pPr>
      <w:r w:rsidRPr="00EF127E">
        <w:rPr>
          <w:rFonts w:ascii="Arial" w:hAnsi="Arial" w:cs="Arial"/>
          <w:bCs/>
          <w:iCs/>
          <w:sz w:val="20"/>
          <w:szCs w:val="20"/>
        </w:rPr>
        <w:t>However, there is an “opportunity cost” of holding funds in reserves, in that these funds</w:t>
      </w:r>
      <w:r>
        <w:rPr>
          <w:rFonts w:ascii="Arial" w:hAnsi="Arial" w:cs="Arial"/>
          <w:bCs/>
          <w:iCs/>
          <w:sz w:val="20"/>
          <w:szCs w:val="20"/>
        </w:rPr>
        <w:t xml:space="preserve"> </w:t>
      </w:r>
      <w:r w:rsidRPr="00EF127E">
        <w:rPr>
          <w:rFonts w:ascii="Arial" w:hAnsi="Arial" w:cs="Arial"/>
          <w:bCs/>
          <w:iCs/>
          <w:sz w:val="20"/>
          <w:szCs w:val="20"/>
        </w:rPr>
        <w:t>cannot then be spent on anything else. As an example, if these funds were used to repay debt,</w:t>
      </w:r>
      <w:r>
        <w:rPr>
          <w:rFonts w:ascii="Arial" w:hAnsi="Arial" w:cs="Arial"/>
          <w:bCs/>
          <w:iCs/>
          <w:sz w:val="20"/>
          <w:szCs w:val="20"/>
        </w:rPr>
        <w:t xml:space="preserve"> </w:t>
      </w:r>
      <w:r w:rsidRPr="00EF127E">
        <w:rPr>
          <w:rFonts w:ascii="Arial" w:hAnsi="Arial" w:cs="Arial"/>
          <w:bCs/>
          <w:iCs/>
          <w:sz w:val="20"/>
          <w:szCs w:val="20"/>
        </w:rPr>
        <w:t>the opportunity cost would equate to the saving on the payment of interest and the minimum</w:t>
      </w:r>
      <w:r>
        <w:rPr>
          <w:rFonts w:ascii="Arial" w:hAnsi="Arial" w:cs="Arial"/>
          <w:bCs/>
          <w:iCs/>
          <w:sz w:val="20"/>
          <w:szCs w:val="20"/>
        </w:rPr>
        <w:t xml:space="preserve"> </w:t>
      </w:r>
      <w:r w:rsidRPr="00EF127E">
        <w:rPr>
          <w:rFonts w:ascii="Arial" w:hAnsi="Arial" w:cs="Arial"/>
          <w:bCs/>
          <w:iCs/>
          <w:sz w:val="20"/>
          <w:szCs w:val="20"/>
        </w:rPr>
        <w:t>revenue provision, offset by the loss of investment income on the funds.</w:t>
      </w:r>
      <w:r>
        <w:rPr>
          <w:rFonts w:ascii="Arial" w:hAnsi="Arial" w:cs="Arial"/>
          <w:bCs/>
          <w:iCs/>
          <w:sz w:val="20"/>
          <w:szCs w:val="20"/>
        </w:rPr>
        <w:t xml:space="preserve"> </w:t>
      </w:r>
      <w:r w:rsidRPr="00EF127E">
        <w:rPr>
          <w:rFonts w:ascii="Arial" w:hAnsi="Arial" w:cs="Arial"/>
          <w:bCs/>
          <w:iCs/>
          <w:sz w:val="20"/>
          <w:szCs w:val="20"/>
        </w:rPr>
        <w:t>However, using reserves to pay off debt in this way would leave the Council with no funds to</w:t>
      </w:r>
      <w:r>
        <w:rPr>
          <w:rFonts w:ascii="Arial" w:hAnsi="Arial" w:cs="Arial"/>
          <w:bCs/>
          <w:iCs/>
          <w:sz w:val="20"/>
          <w:szCs w:val="20"/>
        </w:rPr>
        <w:t xml:space="preserve"> </w:t>
      </w:r>
      <w:r w:rsidRPr="00EF127E">
        <w:rPr>
          <w:rFonts w:ascii="Arial" w:hAnsi="Arial" w:cs="Arial"/>
          <w:bCs/>
          <w:iCs/>
          <w:sz w:val="20"/>
          <w:szCs w:val="20"/>
        </w:rPr>
        <w:t>manage unexpected risks nor provide a mechanism to fund the planned expenditure for which</w:t>
      </w:r>
      <w:r>
        <w:rPr>
          <w:rFonts w:ascii="Arial" w:hAnsi="Arial" w:cs="Arial"/>
          <w:bCs/>
          <w:iCs/>
          <w:sz w:val="20"/>
          <w:szCs w:val="20"/>
        </w:rPr>
        <w:t xml:space="preserve"> </w:t>
      </w:r>
      <w:r w:rsidRPr="00EF127E">
        <w:rPr>
          <w:rFonts w:ascii="Arial" w:hAnsi="Arial" w:cs="Arial"/>
          <w:bCs/>
          <w:iCs/>
          <w:sz w:val="20"/>
          <w:szCs w:val="20"/>
        </w:rPr>
        <w:t>the reserves were earmarked.</w:t>
      </w:r>
    </w:p>
    <w:p w14:paraId="2A2CDA7F" w14:textId="75379CE4" w:rsidR="00EF127E" w:rsidRPr="00EF127E" w:rsidRDefault="00EF127E" w:rsidP="00EF127E">
      <w:pPr>
        <w:spacing w:before="222" w:line="219" w:lineRule="auto"/>
        <w:jc w:val="both"/>
        <w:rPr>
          <w:rFonts w:ascii="Arial" w:hAnsi="Arial" w:cs="Arial"/>
          <w:bCs/>
          <w:iCs/>
          <w:sz w:val="20"/>
          <w:szCs w:val="20"/>
        </w:rPr>
      </w:pPr>
      <w:r w:rsidRPr="00EF127E">
        <w:rPr>
          <w:rFonts w:ascii="Arial" w:hAnsi="Arial" w:cs="Arial"/>
          <w:bCs/>
          <w:iCs/>
          <w:sz w:val="20"/>
          <w:szCs w:val="20"/>
        </w:rPr>
        <w:t>Given the opportunity costs of holding reserves, it is critical that reserves continue to be</w:t>
      </w:r>
      <w:r>
        <w:rPr>
          <w:rFonts w:ascii="Arial" w:hAnsi="Arial" w:cs="Arial"/>
          <w:bCs/>
          <w:iCs/>
          <w:sz w:val="20"/>
          <w:szCs w:val="20"/>
        </w:rPr>
        <w:t xml:space="preserve"> </w:t>
      </w:r>
      <w:r w:rsidRPr="00EF127E">
        <w:rPr>
          <w:rFonts w:ascii="Arial" w:hAnsi="Arial" w:cs="Arial"/>
          <w:bCs/>
          <w:iCs/>
          <w:sz w:val="20"/>
          <w:szCs w:val="20"/>
        </w:rPr>
        <w:t>reviewed each year as part of the budget process to confirm that they are still required and</w:t>
      </w:r>
      <w:r>
        <w:rPr>
          <w:rFonts w:ascii="Arial" w:hAnsi="Arial" w:cs="Arial"/>
          <w:bCs/>
          <w:iCs/>
          <w:sz w:val="20"/>
          <w:szCs w:val="20"/>
        </w:rPr>
        <w:t xml:space="preserve"> </w:t>
      </w:r>
      <w:r w:rsidRPr="00EF127E">
        <w:rPr>
          <w:rFonts w:ascii="Arial" w:hAnsi="Arial" w:cs="Arial"/>
          <w:bCs/>
          <w:iCs/>
          <w:sz w:val="20"/>
          <w:szCs w:val="20"/>
        </w:rPr>
        <w:t>that the level is still appropriate.</w:t>
      </w:r>
    </w:p>
    <w:p w14:paraId="0DA19A2C" w14:textId="2C9D57A9" w:rsidR="00EF127E" w:rsidRPr="00EF127E" w:rsidRDefault="00EF127E" w:rsidP="00EF127E">
      <w:pPr>
        <w:spacing w:before="222" w:line="219" w:lineRule="auto"/>
        <w:jc w:val="both"/>
        <w:rPr>
          <w:rFonts w:ascii="Arial" w:hAnsi="Arial" w:cs="Arial"/>
          <w:b/>
          <w:iCs/>
          <w:sz w:val="20"/>
          <w:szCs w:val="20"/>
        </w:rPr>
      </w:pPr>
      <w:r w:rsidRPr="00EF127E">
        <w:rPr>
          <w:rFonts w:ascii="Arial" w:hAnsi="Arial" w:cs="Arial"/>
          <w:b/>
          <w:iCs/>
          <w:sz w:val="20"/>
          <w:szCs w:val="20"/>
        </w:rPr>
        <w:t>Current Level of Financial Reserves</w:t>
      </w:r>
    </w:p>
    <w:p w14:paraId="395A8C92" w14:textId="38CEA0DB" w:rsidR="00EF127E" w:rsidRPr="00EF127E" w:rsidRDefault="00EF127E" w:rsidP="00EF127E">
      <w:pPr>
        <w:spacing w:before="222" w:line="219" w:lineRule="auto"/>
        <w:jc w:val="both"/>
        <w:rPr>
          <w:rFonts w:ascii="Arial" w:hAnsi="Arial" w:cs="Arial"/>
          <w:bCs/>
          <w:iCs/>
          <w:sz w:val="20"/>
          <w:szCs w:val="20"/>
        </w:rPr>
      </w:pPr>
      <w:r w:rsidRPr="00EF127E">
        <w:rPr>
          <w:rFonts w:ascii="Arial" w:hAnsi="Arial" w:cs="Arial"/>
          <w:bCs/>
          <w:iCs/>
          <w:sz w:val="20"/>
          <w:szCs w:val="20"/>
        </w:rPr>
        <w:t>The level of financial reserves held by the council will be agreed by the Parish Council during</w:t>
      </w:r>
      <w:r>
        <w:rPr>
          <w:rFonts w:ascii="Arial" w:hAnsi="Arial" w:cs="Arial"/>
          <w:bCs/>
          <w:iCs/>
          <w:sz w:val="20"/>
          <w:szCs w:val="20"/>
        </w:rPr>
        <w:t xml:space="preserve"> </w:t>
      </w:r>
      <w:r w:rsidRPr="00EF127E">
        <w:rPr>
          <w:rFonts w:ascii="Arial" w:hAnsi="Arial" w:cs="Arial"/>
          <w:bCs/>
          <w:iCs/>
          <w:sz w:val="20"/>
          <w:szCs w:val="20"/>
        </w:rPr>
        <w:t>the discussions held regarding the setting of the budget for the next financial year.</w:t>
      </w:r>
    </w:p>
    <w:p w14:paraId="6945EB50" w14:textId="3684027F" w:rsidR="00EF127E" w:rsidRPr="00EF127E" w:rsidRDefault="00EF127E" w:rsidP="00EF127E">
      <w:pPr>
        <w:spacing w:before="222" w:line="219" w:lineRule="auto"/>
        <w:jc w:val="both"/>
        <w:rPr>
          <w:rFonts w:ascii="Arial" w:hAnsi="Arial" w:cs="Arial"/>
          <w:bCs/>
          <w:iCs/>
          <w:sz w:val="20"/>
          <w:szCs w:val="20"/>
        </w:rPr>
      </w:pPr>
      <w:r w:rsidRPr="00EF127E">
        <w:rPr>
          <w:rFonts w:ascii="Arial" w:hAnsi="Arial" w:cs="Arial"/>
          <w:bCs/>
          <w:iCs/>
          <w:sz w:val="20"/>
          <w:szCs w:val="20"/>
        </w:rPr>
        <w:t>The current level of general reserves to be held by the Council is recommended as three</w:t>
      </w:r>
      <w:r>
        <w:rPr>
          <w:rFonts w:ascii="Arial" w:hAnsi="Arial" w:cs="Arial"/>
          <w:bCs/>
          <w:iCs/>
          <w:sz w:val="20"/>
          <w:szCs w:val="20"/>
        </w:rPr>
        <w:t xml:space="preserve"> </w:t>
      </w:r>
      <w:r w:rsidRPr="00EF127E">
        <w:rPr>
          <w:rFonts w:ascii="Arial" w:hAnsi="Arial" w:cs="Arial"/>
          <w:bCs/>
          <w:iCs/>
          <w:sz w:val="20"/>
          <w:szCs w:val="20"/>
        </w:rPr>
        <w:t xml:space="preserve">twelfths of the annual </w:t>
      </w:r>
      <w:r>
        <w:rPr>
          <w:rFonts w:ascii="Arial" w:hAnsi="Arial" w:cs="Arial"/>
          <w:bCs/>
          <w:iCs/>
          <w:sz w:val="20"/>
          <w:szCs w:val="20"/>
        </w:rPr>
        <w:t xml:space="preserve">expense </w:t>
      </w:r>
      <w:r w:rsidRPr="00EF127E">
        <w:rPr>
          <w:rFonts w:ascii="Arial" w:hAnsi="Arial" w:cs="Arial"/>
          <w:bCs/>
          <w:iCs/>
          <w:sz w:val="20"/>
          <w:szCs w:val="20"/>
        </w:rPr>
        <w:t>figure, i.e. to fully cover three months’ expenditure.</w:t>
      </w:r>
    </w:p>
    <w:p w14:paraId="4F35AA24" w14:textId="77777777" w:rsidR="00EF127E" w:rsidRDefault="00EF127E" w:rsidP="00EF127E">
      <w:pPr>
        <w:spacing w:before="222" w:line="219" w:lineRule="auto"/>
        <w:jc w:val="both"/>
        <w:rPr>
          <w:rFonts w:ascii="Arial" w:hAnsi="Arial" w:cs="Arial"/>
          <w:bCs/>
          <w:iCs/>
          <w:sz w:val="20"/>
          <w:szCs w:val="20"/>
        </w:rPr>
      </w:pPr>
      <w:r w:rsidRPr="00EF127E">
        <w:rPr>
          <w:rFonts w:ascii="Arial" w:hAnsi="Arial" w:cs="Arial"/>
          <w:bCs/>
          <w:iCs/>
          <w:sz w:val="20"/>
          <w:szCs w:val="20"/>
        </w:rPr>
        <w:t xml:space="preserve">The </w:t>
      </w:r>
      <w:r>
        <w:rPr>
          <w:rFonts w:ascii="Arial" w:hAnsi="Arial" w:cs="Arial"/>
          <w:bCs/>
          <w:iCs/>
          <w:sz w:val="20"/>
          <w:szCs w:val="20"/>
        </w:rPr>
        <w:t>level of reserves for the 2025/2026 period shall be:</w:t>
      </w:r>
    </w:p>
    <w:p w14:paraId="275435AF" w14:textId="77777777" w:rsidR="005E0C9E" w:rsidRDefault="005E0C9E" w:rsidP="00EF127E">
      <w:pPr>
        <w:spacing w:before="222" w:line="219" w:lineRule="auto"/>
        <w:jc w:val="both"/>
        <w:rPr>
          <w:rFonts w:ascii="Arial" w:hAnsi="Arial" w:cs="Arial"/>
          <w:bCs/>
          <w:iCs/>
          <w:sz w:val="20"/>
          <w:szCs w:val="20"/>
        </w:rPr>
      </w:pPr>
    </w:p>
    <w:tbl>
      <w:tblPr>
        <w:tblW w:w="9204" w:type="dxa"/>
        <w:tblLook w:val="04A0" w:firstRow="1" w:lastRow="0" w:firstColumn="1" w:lastColumn="0" w:noHBand="0" w:noVBand="1"/>
      </w:tblPr>
      <w:tblGrid>
        <w:gridCol w:w="3392"/>
        <w:gridCol w:w="2268"/>
        <w:gridCol w:w="3544"/>
      </w:tblGrid>
      <w:tr w:rsidR="005E0C9E" w:rsidRPr="005E0C9E" w14:paraId="4D2D99EF" w14:textId="77777777" w:rsidTr="007C2F17">
        <w:trPr>
          <w:trHeight w:val="255"/>
        </w:trPr>
        <w:tc>
          <w:tcPr>
            <w:tcW w:w="3392" w:type="dxa"/>
            <w:tcBorders>
              <w:top w:val="single" w:sz="8" w:space="0" w:color="auto"/>
              <w:left w:val="single" w:sz="8" w:space="0" w:color="auto"/>
              <w:bottom w:val="nil"/>
              <w:right w:val="single" w:sz="8" w:space="0" w:color="auto"/>
            </w:tcBorders>
            <w:shd w:val="clear" w:color="auto" w:fill="auto"/>
            <w:noWrap/>
            <w:vAlign w:val="center"/>
            <w:hideMark/>
          </w:tcPr>
          <w:p w14:paraId="24F95C46" w14:textId="77777777" w:rsidR="005E0C9E" w:rsidRPr="005E0C9E" w:rsidRDefault="005E0C9E" w:rsidP="005E0C9E">
            <w:pPr>
              <w:widowControl/>
              <w:rPr>
                <w:rFonts w:ascii="Arial" w:eastAsia="Times New Roman" w:hAnsi="Arial" w:cs="Arial"/>
                <w:b/>
                <w:bCs/>
                <w:sz w:val="20"/>
                <w:szCs w:val="20"/>
              </w:rPr>
            </w:pPr>
            <w:r w:rsidRPr="005E0C9E">
              <w:rPr>
                <w:rFonts w:ascii="Arial" w:eastAsia="Times New Roman" w:hAnsi="Arial" w:cs="Arial"/>
                <w:b/>
                <w:bCs/>
                <w:sz w:val="20"/>
                <w:szCs w:val="20"/>
              </w:rPr>
              <w:t>Reserves (Sinking Funds)</w:t>
            </w:r>
          </w:p>
        </w:tc>
        <w:tc>
          <w:tcPr>
            <w:tcW w:w="2268" w:type="dxa"/>
            <w:tcBorders>
              <w:top w:val="single" w:sz="8" w:space="0" w:color="auto"/>
              <w:left w:val="single" w:sz="8" w:space="0" w:color="auto"/>
              <w:bottom w:val="nil"/>
              <w:right w:val="single" w:sz="8" w:space="0" w:color="auto"/>
            </w:tcBorders>
            <w:shd w:val="clear" w:color="auto" w:fill="auto"/>
            <w:vAlign w:val="center"/>
            <w:hideMark/>
          </w:tcPr>
          <w:p w14:paraId="3CECBDA7" w14:textId="77777777" w:rsidR="005E0C9E" w:rsidRPr="005E0C9E" w:rsidRDefault="005E0C9E" w:rsidP="005E0C9E">
            <w:pPr>
              <w:widowControl/>
              <w:jc w:val="center"/>
              <w:rPr>
                <w:rFonts w:ascii="Arial" w:eastAsia="Times New Roman" w:hAnsi="Arial" w:cs="Arial"/>
                <w:b/>
                <w:bCs/>
                <w:sz w:val="20"/>
                <w:szCs w:val="20"/>
              </w:rPr>
            </w:pPr>
            <w:r w:rsidRPr="005E0C9E">
              <w:rPr>
                <w:rFonts w:ascii="Arial" w:eastAsia="Times New Roman" w:hAnsi="Arial" w:cs="Arial"/>
                <w:b/>
                <w:bCs/>
                <w:sz w:val="20"/>
                <w:szCs w:val="20"/>
              </w:rPr>
              <w:t>25/26</w:t>
            </w:r>
          </w:p>
        </w:tc>
        <w:tc>
          <w:tcPr>
            <w:tcW w:w="3544" w:type="dxa"/>
            <w:tcBorders>
              <w:top w:val="single" w:sz="8" w:space="0" w:color="auto"/>
              <w:left w:val="nil"/>
              <w:bottom w:val="nil"/>
              <w:right w:val="single" w:sz="8" w:space="0" w:color="auto"/>
            </w:tcBorders>
            <w:shd w:val="clear" w:color="auto" w:fill="auto"/>
            <w:vAlign w:val="center"/>
            <w:hideMark/>
          </w:tcPr>
          <w:p w14:paraId="34AC3302" w14:textId="77777777" w:rsidR="005E0C9E" w:rsidRPr="005E0C9E" w:rsidRDefault="005E0C9E" w:rsidP="005E0C9E">
            <w:pPr>
              <w:widowControl/>
              <w:rPr>
                <w:rFonts w:ascii="Arial" w:eastAsia="Times New Roman" w:hAnsi="Arial" w:cs="Arial"/>
                <w:b/>
                <w:bCs/>
                <w:sz w:val="20"/>
                <w:szCs w:val="20"/>
              </w:rPr>
            </w:pPr>
            <w:r w:rsidRPr="005E0C9E">
              <w:rPr>
                <w:rFonts w:ascii="Arial" w:eastAsia="Times New Roman" w:hAnsi="Arial" w:cs="Arial"/>
                <w:b/>
                <w:bCs/>
                <w:sz w:val="20"/>
                <w:szCs w:val="20"/>
              </w:rPr>
              <w:t>Comments</w:t>
            </w:r>
          </w:p>
        </w:tc>
      </w:tr>
      <w:tr w:rsidR="005E0C9E" w:rsidRPr="005E0C9E" w14:paraId="7A26A7BE" w14:textId="77777777" w:rsidTr="007C2F17">
        <w:trPr>
          <w:trHeight w:val="255"/>
        </w:trPr>
        <w:tc>
          <w:tcPr>
            <w:tcW w:w="3392" w:type="dxa"/>
            <w:tcBorders>
              <w:top w:val="nil"/>
              <w:left w:val="single" w:sz="8" w:space="0" w:color="auto"/>
              <w:bottom w:val="nil"/>
              <w:right w:val="single" w:sz="8" w:space="0" w:color="auto"/>
            </w:tcBorders>
            <w:shd w:val="clear" w:color="auto" w:fill="auto"/>
            <w:noWrap/>
            <w:vAlign w:val="center"/>
            <w:hideMark/>
          </w:tcPr>
          <w:p w14:paraId="6977473B" w14:textId="77777777" w:rsidR="005E0C9E" w:rsidRPr="005E0C9E" w:rsidRDefault="005E0C9E" w:rsidP="005E0C9E">
            <w:pPr>
              <w:widowControl/>
              <w:rPr>
                <w:rFonts w:ascii="Arial" w:eastAsia="Times New Roman" w:hAnsi="Arial" w:cs="Arial"/>
                <w:b/>
                <w:bCs/>
                <w:sz w:val="20"/>
                <w:szCs w:val="20"/>
                <w:u w:val="single"/>
              </w:rPr>
            </w:pPr>
            <w:r w:rsidRPr="005E0C9E">
              <w:rPr>
                <w:rFonts w:ascii="Arial" w:eastAsia="Times New Roman" w:hAnsi="Arial" w:cs="Arial"/>
                <w:b/>
                <w:bCs/>
                <w:sz w:val="20"/>
                <w:szCs w:val="20"/>
                <w:u w:val="single"/>
              </w:rPr>
              <w:t> </w:t>
            </w:r>
          </w:p>
        </w:tc>
        <w:tc>
          <w:tcPr>
            <w:tcW w:w="2268" w:type="dxa"/>
            <w:tcBorders>
              <w:top w:val="nil"/>
              <w:left w:val="single" w:sz="8" w:space="0" w:color="auto"/>
              <w:bottom w:val="nil"/>
              <w:right w:val="single" w:sz="8" w:space="0" w:color="auto"/>
            </w:tcBorders>
            <w:shd w:val="clear" w:color="auto" w:fill="auto"/>
            <w:noWrap/>
            <w:vAlign w:val="center"/>
            <w:hideMark/>
          </w:tcPr>
          <w:p w14:paraId="4D77EE66" w14:textId="77777777" w:rsidR="005E0C9E" w:rsidRPr="005E0C9E" w:rsidRDefault="005E0C9E" w:rsidP="005E0C9E">
            <w:pPr>
              <w:widowControl/>
              <w:jc w:val="center"/>
              <w:rPr>
                <w:rFonts w:ascii="Arial" w:eastAsia="Times New Roman" w:hAnsi="Arial" w:cs="Arial"/>
                <w:b/>
                <w:bCs/>
                <w:sz w:val="20"/>
                <w:szCs w:val="20"/>
              </w:rPr>
            </w:pPr>
            <w:r w:rsidRPr="005E0C9E">
              <w:rPr>
                <w:rFonts w:ascii="Arial" w:eastAsia="Times New Roman" w:hAnsi="Arial" w:cs="Arial"/>
                <w:b/>
                <w:bCs/>
                <w:sz w:val="20"/>
                <w:szCs w:val="20"/>
              </w:rPr>
              <w:t xml:space="preserve">£ </w:t>
            </w:r>
          </w:p>
        </w:tc>
        <w:tc>
          <w:tcPr>
            <w:tcW w:w="3544" w:type="dxa"/>
            <w:tcBorders>
              <w:top w:val="nil"/>
              <w:left w:val="nil"/>
              <w:bottom w:val="nil"/>
              <w:right w:val="single" w:sz="8" w:space="0" w:color="auto"/>
            </w:tcBorders>
            <w:shd w:val="clear" w:color="auto" w:fill="auto"/>
            <w:vAlign w:val="center"/>
            <w:hideMark/>
          </w:tcPr>
          <w:p w14:paraId="136739F2" w14:textId="77777777" w:rsidR="005E0C9E" w:rsidRPr="005E0C9E" w:rsidRDefault="005E0C9E" w:rsidP="005E0C9E">
            <w:pPr>
              <w:widowControl/>
              <w:rPr>
                <w:rFonts w:ascii="Arial" w:eastAsia="Times New Roman" w:hAnsi="Arial" w:cs="Arial"/>
                <w:sz w:val="20"/>
                <w:szCs w:val="20"/>
              </w:rPr>
            </w:pPr>
            <w:r w:rsidRPr="005E0C9E">
              <w:rPr>
                <w:rFonts w:ascii="Arial" w:eastAsia="Times New Roman" w:hAnsi="Arial" w:cs="Arial"/>
                <w:sz w:val="20"/>
                <w:szCs w:val="20"/>
              </w:rPr>
              <w:t> </w:t>
            </w:r>
          </w:p>
        </w:tc>
      </w:tr>
      <w:tr w:rsidR="005E0C9E" w:rsidRPr="005E0C9E" w14:paraId="56834C60" w14:textId="77777777" w:rsidTr="007C2F17">
        <w:trPr>
          <w:trHeight w:val="255"/>
        </w:trPr>
        <w:tc>
          <w:tcPr>
            <w:tcW w:w="3392" w:type="dxa"/>
            <w:tcBorders>
              <w:top w:val="nil"/>
              <w:left w:val="single" w:sz="8" w:space="0" w:color="auto"/>
              <w:bottom w:val="nil"/>
              <w:right w:val="single" w:sz="8" w:space="0" w:color="auto"/>
            </w:tcBorders>
            <w:shd w:val="clear" w:color="auto" w:fill="auto"/>
            <w:noWrap/>
            <w:vAlign w:val="center"/>
            <w:hideMark/>
          </w:tcPr>
          <w:p w14:paraId="37FE1205" w14:textId="77777777" w:rsidR="005E0C9E" w:rsidRPr="005E0C9E" w:rsidRDefault="005E0C9E" w:rsidP="005E0C9E">
            <w:pPr>
              <w:widowControl/>
              <w:rPr>
                <w:rFonts w:ascii="Arial" w:eastAsia="Times New Roman" w:hAnsi="Arial" w:cs="Arial"/>
                <w:sz w:val="20"/>
                <w:szCs w:val="20"/>
              </w:rPr>
            </w:pPr>
            <w:r w:rsidRPr="005E0C9E">
              <w:rPr>
                <w:rFonts w:ascii="Arial" w:eastAsia="Times New Roman" w:hAnsi="Arial" w:cs="Arial"/>
                <w:sz w:val="20"/>
                <w:szCs w:val="20"/>
              </w:rPr>
              <w:t>3 month's running costs</w:t>
            </w:r>
          </w:p>
        </w:tc>
        <w:tc>
          <w:tcPr>
            <w:tcW w:w="2268" w:type="dxa"/>
            <w:tcBorders>
              <w:top w:val="nil"/>
              <w:left w:val="single" w:sz="8" w:space="0" w:color="auto"/>
              <w:bottom w:val="nil"/>
              <w:right w:val="single" w:sz="8" w:space="0" w:color="auto"/>
            </w:tcBorders>
            <w:shd w:val="clear" w:color="auto" w:fill="auto"/>
            <w:noWrap/>
            <w:vAlign w:val="center"/>
            <w:hideMark/>
          </w:tcPr>
          <w:p w14:paraId="6CCF1F75" w14:textId="77777777" w:rsidR="005E0C9E" w:rsidRPr="005E0C9E" w:rsidRDefault="005E0C9E" w:rsidP="005E0C9E">
            <w:pPr>
              <w:widowControl/>
              <w:rPr>
                <w:rFonts w:ascii="Arial" w:eastAsia="Times New Roman" w:hAnsi="Arial" w:cs="Arial"/>
                <w:sz w:val="20"/>
                <w:szCs w:val="20"/>
              </w:rPr>
            </w:pPr>
            <w:r w:rsidRPr="005E0C9E">
              <w:rPr>
                <w:rFonts w:ascii="Arial" w:eastAsia="Times New Roman" w:hAnsi="Arial" w:cs="Arial"/>
                <w:sz w:val="20"/>
                <w:szCs w:val="20"/>
              </w:rPr>
              <w:t xml:space="preserve"> £           6,600.00 </w:t>
            </w:r>
          </w:p>
        </w:tc>
        <w:tc>
          <w:tcPr>
            <w:tcW w:w="3544" w:type="dxa"/>
            <w:tcBorders>
              <w:top w:val="nil"/>
              <w:left w:val="nil"/>
              <w:bottom w:val="nil"/>
              <w:right w:val="single" w:sz="8" w:space="0" w:color="auto"/>
            </w:tcBorders>
            <w:shd w:val="clear" w:color="auto" w:fill="auto"/>
            <w:noWrap/>
            <w:vAlign w:val="center"/>
            <w:hideMark/>
          </w:tcPr>
          <w:p w14:paraId="7698946F" w14:textId="6755DF19" w:rsidR="005E0C9E" w:rsidRPr="005E0C9E" w:rsidRDefault="005E0C9E" w:rsidP="005E0C9E">
            <w:pPr>
              <w:widowControl/>
              <w:rPr>
                <w:rFonts w:ascii="Arial" w:eastAsia="Times New Roman" w:hAnsi="Arial" w:cs="Arial"/>
                <w:sz w:val="20"/>
                <w:szCs w:val="20"/>
              </w:rPr>
            </w:pPr>
            <w:r w:rsidRPr="005E0C9E">
              <w:rPr>
                <w:rFonts w:ascii="Arial" w:eastAsia="Times New Roman" w:hAnsi="Arial" w:cs="Arial"/>
                <w:sz w:val="20"/>
                <w:szCs w:val="20"/>
              </w:rPr>
              <w:t xml:space="preserve">to be held in current account </w:t>
            </w:r>
          </w:p>
        </w:tc>
      </w:tr>
      <w:tr w:rsidR="005E0C9E" w:rsidRPr="005E0C9E" w14:paraId="03A601A1" w14:textId="77777777" w:rsidTr="007C2F17">
        <w:trPr>
          <w:trHeight w:val="255"/>
        </w:trPr>
        <w:tc>
          <w:tcPr>
            <w:tcW w:w="3392" w:type="dxa"/>
            <w:tcBorders>
              <w:top w:val="nil"/>
              <w:left w:val="single" w:sz="8" w:space="0" w:color="auto"/>
              <w:bottom w:val="nil"/>
              <w:right w:val="single" w:sz="8" w:space="0" w:color="auto"/>
            </w:tcBorders>
            <w:shd w:val="clear" w:color="auto" w:fill="auto"/>
            <w:noWrap/>
            <w:vAlign w:val="center"/>
            <w:hideMark/>
          </w:tcPr>
          <w:p w14:paraId="0615E801" w14:textId="7B608334" w:rsidR="005E0C9E" w:rsidRPr="005E0C9E" w:rsidRDefault="005E0C9E" w:rsidP="005E0C9E">
            <w:pPr>
              <w:widowControl/>
              <w:rPr>
                <w:rFonts w:ascii="Arial" w:eastAsia="Times New Roman" w:hAnsi="Arial" w:cs="Arial"/>
                <w:sz w:val="20"/>
                <w:szCs w:val="20"/>
              </w:rPr>
            </w:pPr>
            <w:r w:rsidRPr="005E0C9E">
              <w:rPr>
                <w:rFonts w:ascii="Arial" w:eastAsia="Times New Roman" w:hAnsi="Arial" w:cs="Arial"/>
                <w:sz w:val="20"/>
                <w:szCs w:val="20"/>
              </w:rPr>
              <w:t xml:space="preserve">General </w:t>
            </w:r>
            <w:r w:rsidR="007C2F17">
              <w:rPr>
                <w:rFonts w:ascii="Arial" w:eastAsia="Times New Roman" w:hAnsi="Arial" w:cs="Arial"/>
                <w:sz w:val="20"/>
                <w:szCs w:val="20"/>
              </w:rPr>
              <w:t>C</w:t>
            </w:r>
            <w:r w:rsidRPr="005E0C9E">
              <w:rPr>
                <w:rFonts w:ascii="Arial" w:eastAsia="Times New Roman" w:hAnsi="Arial" w:cs="Arial"/>
                <w:sz w:val="20"/>
                <w:szCs w:val="20"/>
              </w:rPr>
              <w:t>ontingency</w:t>
            </w:r>
          </w:p>
        </w:tc>
        <w:tc>
          <w:tcPr>
            <w:tcW w:w="2268" w:type="dxa"/>
            <w:tcBorders>
              <w:top w:val="nil"/>
              <w:left w:val="single" w:sz="8" w:space="0" w:color="auto"/>
              <w:bottom w:val="nil"/>
              <w:right w:val="single" w:sz="8" w:space="0" w:color="auto"/>
            </w:tcBorders>
            <w:shd w:val="clear" w:color="auto" w:fill="auto"/>
            <w:noWrap/>
            <w:vAlign w:val="center"/>
            <w:hideMark/>
          </w:tcPr>
          <w:p w14:paraId="598E588A" w14:textId="77777777" w:rsidR="005E0C9E" w:rsidRPr="005E0C9E" w:rsidRDefault="005E0C9E" w:rsidP="005E0C9E">
            <w:pPr>
              <w:widowControl/>
              <w:rPr>
                <w:rFonts w:ascii="Arial" w:eastAsia="Times New Roman" w:hAnsi="Arial" w:cs="Arial"/>
                <w:sz w:val="20"/>
                <w:szCs w:val="20"/>
              </w:rPr>
            </w:pPr>
            <w:r w:rsidRPr="005E0C9E">
              <w:rPr>
                <w:rFonts w:ascii="Arial" w:eastAsia="Times New Roman" w:hAnsi="Arial" w:cs="Arial"/>
                <w:sz w:val="20"/>
                <w:szCs w:val="20"/>
              </w:rPr>
              <w:t xml:space="preserve"> £           3,000.00 </w:t>
            </w:r>
          </w:p>
        </w:tc>
        <w:tc>
          <w:tcPr>
            <w:tcW w:w="3544" w:type="dxa"/>
            <w:tcBorders>
              <w:top w:val="nil"/>
              <w:left w:val="nil"/>
              <w:bottom w:val="nil"/>
              <w:right w:val="single" w:sz="8" w:space="0" w:color="auto"/>
            </w:tcBorders>
            <w:shd w:val="clear" w:color="auto" w:fill="auto"/>
            <w:noWrap/>
            <w:vAlign w:val="center"/>
            <w:hideMark/>
          </w:tcPr>
          <w:p w14:paraId="7F9B4B55" w14:textId="645CBBB0" w:rsidR="005E0C9E" w:rsidRPr="005E0C9E" w:rsidRDefault="005E0C9E" w:rsidP="005E0C9E">
            <w:pPr>
              <w:widowControl/>
              <w:rPr>
                <w:rFonts w:ascii="Arial" w:eastAsia="Times New Roman" w:hAnsi="Arial" w:cs="Arial"/>
                <w:sz w:val="20"/>
                <w:szCs w:val="20"/>
              </w:rPr>
            </w:pPr>
          </w:p>
        </w:tc>
      </w:tr>
      <w:tr w:rsidR="005E0C9E" w:rsidRPr="005E0C9E" w14:paraId="74751297" w14:textId="77777777" w:rsidTr="007C2F17">
        <w:trPr>
          <w:trHeight w:val="255"/>
        </w:trPr>
        <w:tc>
          <w:tcPr>
            <w:tcW w:w="3392" w:type="dxa"/>
            <w:tcBorders>
              <w:top w:val="nil"/>
              <w:left w:val="single" w:sz="8" w:space="0" w:color="auto"/>
              <w:bottom w:val="nil"/>
              <w:right w:val="single" w:sz="8" w:space="0" w:color="auto"/>
            </w:tcBorders>
            <w:shd w:val="clear" w:color="auto" w:fill="auto"/>
            <w:noWrap/>
            <w:vAlign w:val="center"/>
            <w:hideMark/>
          </w:tcPr>
          <w:p w14:paraId="129939CF" w14:textId="77777777" w:rsidR="005E0C9E" w:rsidRPr="005E0C9E" w:rsidRDefault="005E0C9E" w:rsidP="005E0C9E">
            <w:pPr>
              <w:widowControl/>
              <w:rPr>
                <w:rFonts w:ascii="Arial" w:eastAsia="Times New Roman" w:hAnsi="Arial" w:cs="Arial"/>
                <w:sz w:val="20"/>
                <w:szCs w:val="20"/>
              </w:rPr>
            </w:pPr>
            <w:r w:rsidRPr="005E0C9E">
              <w:rPr>
                <w:rFonts w:ascii="Arial" w:eastAsia="Times New Roman" w:hAnsi="Arial" w:cs="Arial"/>
                <w:sz w:val="20"/>
                <w:szCs w:val="20"/>
              </w:rPr>
              <w:t>Asset Replacement Fund</w:t>
            </w:r>
          </w:p>
        </w:tc>
        <w:tc>
          <w:tcPr>
            <w:tcW w:w="2268" w:type="dxa"/>
            <w:tcBorders>
              <w:top w:val="nil"/>
              <w:left w:val="single" w:sz="8" w:space="0" w:color="auto"/>
              <w:bottom w:val="nil"/>
              <w:right w:val="single" w:sz="8" w:space="0" w:color="auto"/>
            </w:tcBorders>
            <w:shd w:val="clear" w:color="auto" w:fill="auto"/>
            <w:noWrap/>
            <w:vAlign w:val="center"/>
            <w:hideMark/>
          </w:tcPr>
          <w:p w14:paraId="562E205A" w14:textId="77777777" w:rsidR="005E0C9E" w:rsidRPr="005E0C9E" w:rsidRDefault="005E0C9E" w:rsidP="005E0C9E">
            <w:pPr>
              <w:widowControl/>
              <w:rPr>
                <w:rFonts w:ascii="Arial" w:eastAsia="Times New Roman" w:hAnsi="Arial" w:cs="Arial"/>
                <w:sz w:val="20"/>
                <w:szCs w:val="20"/>
              </w:rPr>
            </w:pPr>
            <w:r w:rsidRPr="005E0C9E">
              <w:rPr>
                <w:rFonts w:ascii="Arial" w:eastAsia="Times New Roman" w:hAnsi="Arial" w:cs="Arial"/>
                <w:sz w:val="20"/>
                <w:szCs w:val="20"/>
              </w:rPr>
              <w:t xml:space="preserve"> £          13,000.00 </w:t>
            </w:r>
          </w:p>
        </w:tc>
        <w:tc>
          <w:tcPr>
            <w:tcW w:w="3544" w:type="dxa"/>
            <w:tcBorders>
              <w:top w:val="nil"/>
              <w:left w:val="nil"/>
              <w:bottom w:val="nil"/>
              <w:right w:val="single" w:sz="8" w:space="0" w:color="auto"/>
            </w:tcBorders>
            <w:shd w:val="clear" w:color="auto" w:fill="auto"/>
            <w:noWrap/>
            <w:vAlign w:val="center"/>
            <w:hideMark/>
          </w:tcPr>
          <w:p w14:paraId="732884A1" w14:textId="14999C5E" w:rsidR="005E0C9E" w:rsidRPr="005E0C9E" w:rsidRDefault="005E0C9E" w:rsidP="005E0C9E">
            <w:pPr>
              <w:widowControl/>
              <w:rPr>
                <w:rFonts w:ascii="Arial" w:eastAsia="Times New Roman" w:hAnsi="Arial" w:cs="Arial"/>
                <w:sz w:val="20"/>
                <w:szCs w:val="20"/>
              </w:rPr>
            </w:pPr>
            <w:r w:rsidRPr="005E0C9E">
              <w:rPr>
                <w:rFonts w:ascii="Arial" w:eastAsia="Times New Roman" w:hAnsi="Arial" w:cs="Arial"/>
                <w:sz w:val="20"/>
                <w:szCs w:val="20"/>
              </w:rPr>
              <w:t>+£</w:t>
            </w:r>
            <w:proofErr w:type="spellStart"/>
            <w:r w:rsidRPr="005E0C9E">
              <w:rPr>
                <w:rFonts w:ascii="Arial" w:eastAsia="Times New Roman" w:hAnsi="Arial" w:cs="Arial"/>
                <w:sz w:val="20"/>
                <w:szCs w:val="20"/>
              </w:rPr>
              <w:t>2K</w:t>
            </w:r>
            <w:proofErr w:type="spellEnd"/>
            <w:r w:rsidRPr="005E0C9E">
              <w:rPr>
                <w:rFonts w:ascii="Arial" w:eastAsia="Times New Roman" w:hAnsi="Arial" w:cs="Arial"/>
                <w:sz w:val="20"/>
                <w:szCs w:val="20"/>
              </w:rPr>
              <w:t>/y accumulation until £20K</w:t>
            </w:r>
            <w:r>
              <w:rPr>
                <w:rFonts w:ascii="Arial" w:eastAsia="Times New Roman" w:hAnsi="Arial" w:cs="Arial"/>
                <w:sz w:val="20"/>
                <w:szCs w:val="20"/>
              </w:rPr>
              <w:t xml:space="preserve"> </w:t>
            </w:r>
            <w:r w:rsidRPr="005E0C9E">
              <w:rPr>
                <w:rFonts w:ascii="Arial" w:eastAsia="Times New Roman" w:hAnsi="Arial" w:cs="Arial"/>
                <w:sz w:val="20"/>
                <w:szCs w:val="20"/>
              </w:rPr>
              <w:t xml:space="preserve">and held in </w:t>
            </w:r>
            <w:r w:rsidR="00BC4FEC" w:rsidRPr="005E0C9E">
              <w:rPr>
                <w:rFonts w:ascii="Arial" w:eastAsia="Times New Roman" w:hAnsi="Arial" w:cs="Arial"/>
                <w:sz w:val="20"/>
                <w:szCs w:val="20"/>
              </w:rPr>
              <w:t>reserve</w:t>
            </w:r>
            <w:r w:rsidRPr="005E0C9E">
              <w:rPr>
                <w:rFonts w:ascii="Arial" w:eastAsia="Times New Roman" w:hAnsi="Arial" w:cs="Arial"/>
                <w:sz w:val="20"/>
                <w:szCs w:val="20"/>
              </w:rPr>
              <w:t xml:space="preserve"> account </w:t>
            </w:r>
          </w:p>
        </w:tc>
      </w:tr>
      <w:tr w:rsidR="005E0C9E" w:rsidRPr="005E0C9E" w14:paraId="49EAD453" w14:textId="77777777" w:rsidTr="007C2F17">
        <w:trPr>
          <w:trHeight w:val="255"/>
        </w:trPr>
        <w:tc>
          <w:tcPr>
            <w:tcW w:w="3392" w:type="dxa"/>
            <w:tcBorders>
              <w:top w:val="nil"/>
              <w:left w:val="single" w:sz="8" w:space="0" w:color="auto"/>
              <w:bottom w:val="nil"/>
              <w:right w:val="single" w:sz="8" w:space="0" w:color="auto"/>
            </w:tcBorders>
            <w:shd w:val="clear" w:color="auto" w:fill="auto"/>
            <w:noWrap/>
            <w:vAlign w:val="center"/>
            <w:hideMark/>
          </w:tcPr>
          <w:p w14:paraId="4A571FAB" w14:textId="77777777" w:rsidR="005E0C9E" w:rsidRPr="005E0C9E" w:rsidRDefault="005E0C9E" w:rsidP="005E0C9E">
            <w:pPr>
              <w:widowControl/>
              <w:rPr>
                <w:rFonts w:ascii="Arial" w:eastAsia="Times New Roman" w:hAnsi="Arial" w:cs="Arial"/>
                <w:sz w:val="20"/>
                <w:szCs w:val="20"/>
              </w:rPr>
            </w:pPr>
            <w:r w:rsidRPr="005E0C9E">
              <w:rPr>
                <w:rFonts w:ascii="Arial" w:eastAsia="Times New Roman" w:hAnsi="Arial" w:cs="Arial"/>
                <w:sz w:val="20"/>
                <w:szCs w:val="20"/>
              </w:rPr>
              <w:t>Insurance Excess</w:t>
            </w:r>
          </w:p>
        </w:tc>
        <w:tc>
          <w:tcPr>
            <w:tcW w:w="2268" w:type="dxa"/>
            <w:tcBorders>
              <w:top w:val="nil"/>
              <w:left w:val="single" w:sz="8" w:space="0" w:color="auto"/>
              <w:bottom w:val="nil"/>
              <w:right w:val="single" w:sz="8" w:space="0" w:color="auto"/>
            </w:tcBorders>
            <w:shd w:val="clear" w:color="auto" w:fill="auto"/>
            <w:noWrap/>
            <w:vAlign w:val="center"/>
            <w:hideMark/>
          </w:tcPr>
          <w:p w14:paraId="0DD895F7" w14:textId="77777777" w:rsidR="005E0C9E" w:rsidRPr="005E0C9E" w:rsidRDefault="005E0C9E" w:rsidP="005E0C9E">
            <w:pPr>
              <w:widowControl/>
              <w:rPr>
                <w:rFonts w:ascii="Arial" w:eastAsia="Times New Roman" w:hAnsi="Arial" w:cs="Arial"/>
                <w:sz w:val="20"/>
                <w:szCs w:val="20"/>
              </w:rPr>
            </w:pPr>
            <w:r w:rsidRPr="005E0C9E">
              <w:rPr>
                <w:rFonts w:ascii="Arial" w:eastAsia="Times New Roman" w:hAnsi="Arial" w:cs="Arial"/>
                <w:sz w:val="20"/>
                <w:szCs w:val="20"/>
              </w:rPr>
              <w:t xml:space="preserve"> £              300.00 </w:t>
            </w:r>
          </w:p>
        </w:tc>
        <w:tc>
          <w:tcPr>
            <w:tcW w:w="3544" w:type="dxa"/>
            <w:tcBorders>
              <w:top w:val="nil"/>
              <w:left w:val="nil"/>
              <w:bottom w:val="nil"/>
              <w:right w:val="single" w:sz="8" w:space="0" w:color="auto"/>
            </w:tcBorders>
            <w:shd w:val="clear" w:color="auto" w:fill="auto"/>
            <w:noWrap/>
            <w:vAlign w:val="center"/>
            <w:hideMark/>
          </w:tcPr>
          <w:p w14:paraId="50C8FEFB" w14:textId="64107DDD" w:rsidR="005E0C9E" w:rsidRPr="005E0C9E" w:rsidRDefault="005E0C9E" w:rsidP="005E0C9E">
            <w:pPr>
              <w:widowControl/>
              <w:rPr>
                <w:rFonts w:ascii="Arial" w:eastAsia="Times New Roman" w:hAnsi="Arial" w:cs="Arial"/>
                <w:sz w:val="20"/>
                <w:szCs w:val="20"/>
              </w:rPr>
            </w:pPr>
          </w:p>
        </w:tc>
      </w:tr>
      <w:tr w:rsidR="005E0C9E" w:rsidRPr="005E0C9E" w14:paraId="03919BFD" w14:textId="77777777" w:rsidTr="007C2F17">
        <w:trPr>
          <w:trHeight w:val="255"/>
        </w:trPr>
        <w:tc>
          <w:tcPr>
            <w:tcW w:w="3392" w:type="dxa"/>
            <w:tcBorders>
              <w:top w:val="nil"/>
              <w:left w:val="single" w:sz="8" w:space="0" w:color="auto"/>
              <w:bottom w:val="nil"/>
              <w:right w:val="single" w:sz="8" w:space="0" w:color="auto"/>
            </w:tcBorders>
            <w:shd w:val="clear" w:color="auto" w:fill="auto"/>
            <w:noWrap/>
            <w:vAlign w:val="center"/>
            <w:hideMark/>
          </w:tcPr>
          <w:p w14:paraId="50E058A1" w14:textId="77777777" w:rsidR="005E0C9E" w:rsidRPr="005E0C9E" w:rsidRDefault="005E0C9E" w:rsidP="005E0C9E">
            <w:pPr>
              <w:widowControl/>
              <w:rPr>
                <w:rFonts w:ascii="Arial" w:eastAsia="Times New Roman" w:hAnsi="Arial" w:cs="Arial"/>
                <w:sz w:val="20"/>
                <w:szCs w:val="20"/>
              </w:rPr>
            </w:pPr>
            <w:r w:rsidRPr="005E0C9E">
              <w:rPr>
                <w:rFonts w:ascii="Arial" w:eastAsia="Times New Roman" w:hAnsi="Arial" w:cs="Arial"/>
                <w:sz w:val="20"/>
                <w:szCs w:val="20"/>
              </w:rPr>
              <w:t>Professional Fees Contingency</w:t>
            </w:r>
          </w:p>
        </w:tc>
        <w:tc>
          <w:tcPr>
            <w:tcW w:w="2268" w:type="dxa"/>
            <w:tcBorders>
              <w:top w:val="nil"/>
              <w:left w:val="single" w:sz="8" w:space="0" w:color="auto"/>
              <w:bottom w:val="nil"/>
              <w:right w:val="single" w:sz="8" w:space="0" w:color="auto"/>
            </w:tcBorders>
            <w:shd w:val="clear" w:color="auto" w:fill="auto"/>
            <w:noWrap/>
            <w:vAlign w:val="center"/>
            <w:hideMark/>
          </w:tcPr>
          <w:p w14:paraId="2C2BAE5B" w14:textId="77777777" w:rsidR="005E0C9E" w:rsidRPr="005E0C9E" w:rsidRDefault="005E0C9E" w:rsidP="005E0C9E">
            <w:pPr>
              <w:widowControl/>
              <w:rPr>
                <w:rFonts w:ascii="Arial" w:eastAsia="Times New Roman" w:hAnsi="Arial" w:cs="Arial"/>
                <w:sz w:val="20"/>
                <w:szCs w:val="20"/>
              </w:rPr>
            </w:pPr>
            <w:r w:rsidRPr="005E0C9E">
              <w:rPr>
                <w:rFonts w:ascii="Arial" w:eastAsia="Times New Roman" w:hAnsi="Arial" w:cs="Arial"/>
                <w:sz w:val="20"/>
                <w:szCs w:val="20"/>
              </w:rPr>
              <w:t xml:space="preserve"> £           1,600.00 </w:t>
            </w:r>
          </w:p>
        </w:tc>
        <w:tc>
          <w:tcPr>
            <w:tcW w:w="3544" w:type="dxa"/>
            <w:tcBorders>
              <w:top w:val="nil"/>
              <w:left w:val="nil"/>
              <w:bottom w:val="nil"/>
              <w:right w:val="single" w:sz="8" w:space="0" w:color="auto"/>
            </w:tcBorders>
            <w:shd w:val="clear" w:color="auto" w:fill="auto"/>
            <w:noWrap/>
            <w:vAlign w:val="center"/>
            <w:hideMark/>
          </w:tcPr>
          <w:p w14:paraId="1FA7CDDF" w14:textId="654F1841" w:rsidR="005E0C9E" w:rsidRPr="005E0C9E" w:rsidRDefault="005E0C9E" w:rsidP="005E0C9E">
            <w:pPr>
              <w:widowControl/>
              <w:rPr>
                <w:rFonts w:ascii="Arial" w:eastAsia="Times New Roman" w:hAnsi="Arial" w:cs="Arial"/>
                <w:sz w:val="20"/>
                <w:szCs w:val="20"/>
              </w:rPr>
            </w:pPr>
            <w:r w:rsidRPr="005E0C9E">
              <w:rPr>
                <w:rFonts w:ascii="Arial" w:eastAsia="Times New Roman" w:hAnsi="Arial" w:cs="Arial"/>
                <w:sz w:val="20"/>
                <w:szCs w:val="20"/>
              </w:rPr>
              <w:t xml:space="preserve">Based on fees incurred for field lease </w:t>
            </w:r>
          </w:p>
        </w:tc>
      </w:tr>
      <w:tr w:rsidR="005E0C9E" w:rsidRPr="005E0C9E" w14:paraId="6DCDB50B" w14:textId="77777777" w:rsidTr="007C2F17">
        <w:trPr>
          <w:trHeight w:val="255"/>
        </w:trPr>
        <w:tc>
          <w:tcPr>
            <w:tcW w:w="3392" w:type="dxa"/>
            <w:tcBorders>
              <w:top w:val="nil"/>
              <w:left w:val="single" w:sz="8" w:space="0" w:color="auto"/>
              <w:bottom w:val="nil"/>
              <w:right w:val="single" w:sz="8" w:space="0" w:color="auto"/>
            </w:tcBorders>
            <w:shd w:val="clear" w:color="auto" w:fill="auto"/>
            <w:noWrap/>
            <w:vAlign w:val="center"/>
            <w:hideMark/>
          </w:tcPr>
          <w:p w14:paraId="0419E054" w14:textId="77777777" w:rsidR="005E0C9E" w:rsidRPr="005E0C9E" w:rsidRDefault="005E0C9E" w:rsidP="005E0C9E">
            <w:pPr>
              <w:widowControl/>
              <w:rPr>
                <w:rFonts w:ascii="Arial" w:eastAsia="Times New Roman" w:hAnsi="Arial" w:cs="Arial"/>
                <w:sz w:val="20"/>
                <w:szCs w:val="20"/>
              </w:rPr>
            </w:pPr>
            <w:r w:rsidRPr="005E0C9E">
              <w:rPr>
                <w:rFonts w:ascii="Arial" w:eastAsia="Times New Roman" w:hAnsi="Arial" w:cs="Arial"/>
                <w:sz w:val="20"/>
                <w:szCs w:val="20"/>
              </w:rPr>
              <w:t>Election Expenses</w:t>
            </w:r>
          </w:p>
        </w:tc>
        <w:tc>
          <w:tcPr>
            <w:tcW w:w="2268" w:type="dxa"/>
            <w:tcBorders>
              <w:top w:val="nil"/>
              <w:left w:val="single" w:sz="8" w:space="0" w:color="auto"/>
              <w:bottom w:val="nil"/>
              <w:right w:val="single" w:sz="8" w:space="0" w:color="auto"/>
            </w:tcBorders>
            <w:shd w:val="clear" w:color="auto" w:fill="auto"/>
            <w:noWrap/>
            <w:vAlign w:val="center"/>
            <w:hideMark/>
          </w:tcPr>
          <w:p w14:paraId="11F6C0E4" w14:textId="77777777" w:rsidR="005E0C9E" w:rsidRPr="005E0C9E" w:rsidRDefault="005E0C9E" w:rsidP="005E0C9E">
            <w:pPr>
              <w:widowControl/>
              <w:rPr>
                <w:rFonts w:ascii="Arial" w:eastAsia="Times New Roman" w:hAnsi="Arial" w:cs="Arial"/>
                <w:sz w:val="20"/>
                <w:szCs w:val="20"/>
              </w:rPr>
            </w:pPr>
            <w:r w:rsidRPr="005E0C9E">
              <w:rPr>
                <w:rFonts w:ascii="Arial" w:eastAsia="Times New Roman" w:hAnsi="Arial" w:cs="Arial"/>
                <w:sz w:val="20"/>
                <w:szCs w:val="20"/>
              </w:rPr>
              <w:t xml:space="preserve"> £           1,600.00 </w:t>
            </w:r>
          </w:p>
        </w:tc>
        <w:tc>
          <w:tcPr>
            <w:tcW w:w="3544" w:type="dxa"/>
            <w:tcBorders>
              <w:top w:val="nil"/>
              <w:left w:val="nil"/>
              <w:bottom w:val="nil"/>
              <w:right w:val="single" w:sz="8" w:space="0" w:color="auto"/>
            </w:tcBorders>
            <w:shd w:val="clear" w:color="auto" w:fill="auto"/>
            <w:noWrap/>
            <w:vAlign w:val="center"/>
            <w:hideMark/>
          </w:tcPr>
          <w:p w14:paraId="78EE6CB8" w14:textId="43864D61" w:rsidR="005E0C9E" w:rsidRPr="005E0C9E" w:rsidRDefault="005E0C9E" w:rsidP="005E0C9E">
            <w:pPr>
              <w:widowControl/>
              <w:rPr>
                <w:rFonts w:ascii="Arial" w:eastAsia="Times New Roman" w:hAnsi="Arial" w:cs="Arial"/>
                <w:sz w:val="20"/>
                <w:szCs w:val="20"/>
              </w:rPr>
            </w:pPr>
            <w:r w:rsidRPr="005E0C9E">
              <w:rPr>
                <w:rFonts w:ascii="Arial" w:eastAsia="Times New Roman" w:hAnsi="Arial" w:cs="Arial"/>
                <w:sz w:val="20"/>
                <w:szCs w:val="20"/>
              </w:rPr>
              <w:t xml:space="preserve">To be held in </w:t>
            </w:r>
            <w:r w:rsidR="007C2F17" w:rsidRPr="005E0C9E">
              <w:rPr>
                <w:rFonts w:ascii="Arial" w:eastAsia="Times New Roman" w:hAnsi="Arial" w:cs="Arial"/>
                <w:sz w:val="20"/>
                <w:szCs w:val="20"/>
              </w:rPr>
              <w:t>reserve</w:t>
            </w:r>
            <w:r w:rsidRPr="005E0C9E">
              <w:rPr>
                <w:rFonts w:ascii="Arial" w:eastAsia="Times New Roman" w:hAnsi="Arial" w:cs="Arial"/>
                <w:sz w:val="20"/>
                <w:szCs w:val="20"/>
              </w:rPr>
              <w:t xml:space="preserve"> account </w:t>
            </w:r>
          </w:p>
        </w:tc>
      </w:tr>
      <w:tr w:rsidR="005E0C9E" w:rsidRPr="005E0C9E" w14:paraId="5ADDBBFA" w14:textId="77777777" w:rsidTr="007C2F17">
        <w:trPr>
          <w:trHeight w:val="255"/>
        </w:trPr>
        <w:tc>
          <w:tcPr>
            <w:tcW w:w="3392" w:type="dxa"/>
            <w:tcBorders>
              <w:top w:val="nil"/>
              <w:left w:val="single" w:sz="8" w:space="0" w:color="auto"/>
              <w:bottom w:val="nil"/>
              <w:right w:val="single" w:sz="8" w:space="0" w:color="auto"/>
            </w:tcBorders>
            <w:shd w:val="clear" w:color="auto" w:fill="auto"/>
            <w:noWrap/>
            <w:vAlign w:val="center"/>
            <w:hideMark/>
          </w:tcPr>
          <w:p w14:paraId="07A75DE9" w14:textId="77777777" w:rsidR="005E0C9E" w:rsidRPr="005E0C9E" w:rsidRDefault="005E0C9E" w:rsidP="005E0C9E">
            <w:pPr>
              <w:widowControl/>
              <w:rPr>
                <w:rFonts w:ascii="Arial" w:eastAsia="Times New Roman" w:hAnsi="Arial" w:cs="Arial"/>
                <w:sz w:val="20"/>
                <w:szCs w:val="20"/>
              </w:rPr>
            </w:pPr>
            <w:r w:rsidRPr="005E0C9E">
              <w:rPr>
                <w:rFonts w:ascii="Arial" w:eastAsia="Times New Roman" w:hAnsi="Arial" w:cs="Arial"/>
                <w:sz w:val="20"/>
                <w:szCs w:val="20"/>
              </w:rPr>
              <w:t>Football Fund</w:t>
            </w:r>
          </w:p>
        </w:tc>
        <w:tc>
          <w:tcPr>
            <w:tcW w:w="2268" w:type="dxa"/>
            <w:tcBorders>
              <w:top w:val="nil"/>
              <w:left w:val="single" w:sz="8" w:space="0" w:color="auto"/>
              <w:bottom w:val="nil"/>
              <w:right w:val="single" w:sz="8" w:space="0" w:color="auto"/>
            </w:tcBorders>
            <w:shd w:val="clear" w:color="auto" w:fill="auto"/>
            <w:noWrap/>
            <w:vAlign w:val="center"/>
            <w:hideMark/>
          </w:tcPr>
          <w:p w14:paraId="0D6AA859" w14:textId="77777777" w:rsidR="005E0C9E" w:rsidRPr="005E0C9E" w:rsidRDefault="005E0C9E" w:rsidP="005E0C9E">
            <w:pPr>
              <w:widowControl/>
              <w:rPr>
                <w:rFonts w:ascii="Arial" w:eastAsia="Times New Roman" w:hAnsi="Arial" w:cs="Arial"/>
                <w:sz w:val="20"/>
                <w:szCs w:val="20"/>
              </w:rPr>
            </w:pPr>
            <w:r w:rsidRPr="005E0C9E">
              <w:rPr>
                <w:rFonts w:ascii="Arial" w:eastAsia="Times New Roman" w:hAnsi="Arial" w:cs="Arial"/>
                <w:sz w:val="20"/>
                <w:szCs w:val="20"/>
              </w:rPr>
              <w:t xml:space="preserve"> £           1,211.82 </w:t>
            </w:r>
          </w:p>
        </w:tc>
        <w:tc>
          <w:tcPr>
            <w:tcW w:w="3544" w:type="dxa"/>
            <w:tcBorders>
              <w:top w:val="nil"/>
              <w:left w:val="nil"/>
              <w:bottom w:val="nil"/>
              <w:right w:val="single" w:sz="8" w:space="0" w:color="auto"/>
            </w:tcBorders>
            <w:shd w:val="clear" w:color="auto" w:fill="auto"/>
            <w:noWrap/>
            <w:vAlign w:val="center"/>
            <w:hideMark/>
          </w:tcPr>
          <w:p w14:paraId="6FE26230" w14:textId="67DA98C0" w:rsidR="005E0C9E" w:rsidRPr="005E0C9E" w:rsidRDefault="005E0C9E" w:rsidP="005E0C9E">
            <w:pPr>
              <w:widowControl/>
              <w:rPr>
                <w:rFonts w:ascii="Arial" w:eastAsia="Times New Roman" w:hAnsi="Arial" w:cs="Arial"/>
                <w:sz w:val="20"/>
                <w:szCs w:val="20"/>
              </w:rPr>
            </w:pPr>
            <w:r w:rsidRPr="005E0C9E">
              <w:rPr>
                <w:rFonts w:ascii="Arial" w:eastAsia="Times New Roman" w:hAnsi="Arial" w:cs="Arial"/>
                <w:sz w:val="20"/>
                <w:szCs w:val="20"/>
              </w:rPr>
              <w:t xml:space="preserve">To be held in separate account </w:t>
            </w:r>
          </w:p>
        </w:tc>
      </w:tr>
      <w:tr w:rsidR="005E0C9E" w:rsidRPr="005E0C9E" w14:paraId="0456D13E" w14:textId="77777777" w:rsidTr="007C2F17">
        <w:trPr>
          <w:trHeight w:val="255"/>
        </w:trPr>
        <w:tc>
          <w:tcPr>
            <w:tcW w:w="3392" w:type="dxa"/>
            <w:tcBorders>
              <w:top w:val="nil"/>
              <w:left w:val="single" w:sz="8" w:space="0" w:color="auto"/>
              <w:bottom w:val="nil"/>
              <w:right w:val="single" w:sz="8" w:space="0" w:color="auto"/>
            </w:tcBorders>
            <w:shd w:val="clear" w:color="auto" w:fill="auto"/>
            <w:noWrap/>
            <w:vAlign w:val="center"/>
            <w:hideMark/>
          </w:tcPr>
          <w:p w14:paraId="07815F6F" w14:textId="77777777" w:rsidR="005E0C9E" w:rsidRPr="005E0C9E" w:rsidRDefault="005E0C9E" w:rsidP="005E0C9E">
            <w:pPr>
              <w:widowControl/>
              <w:rPr>
                <w:rFonts w:ascii="Arial" w:eastAsia="Times New Roman" w:hAnsi="Arial" w:cs="Arial"/>
                <w:sz w:val="20"/>
                <w:szCs w:val="20"/>
              </w:rPr>
            </w:pPr>
            <w:r w:rsidRPr="005E0C9E">
              <w:rPr>
                <w:rFonts w:ascii="Arial" w:eastAsia="Times New Roman" w:hAnsi="Arial" w:cs="Arial"/>
                <w:sz w:val="20"/>
                <w:szCs w:val="20"/>
              </w:rPr>
              <w:t>Defibrillator Contingency</w:t>
            </w:r>
          </w:p>
        </w:tc>
        <w:tc>
          <w:tcPr>
            <w:tcW w:w="2268" w:type="dxa"/>
            <w:tcBorders>
              <w:top w:val="nil"/>
              <w:left w:val="single" w:sz="8" w:space="0" w:color="auto"/>
              <w:bottom w:val="nil"/>
              <w:right w:val="single" w:sz="8" w:space="0" w:color="auto"/>
            </w:tcBorders>
            <w:shd w:val="clear" w:color="auto" w:fill="auto"/>
            <w:noWrap/>
            <w:vAlign w:val="center"/>
            <w:hideMark/>
          </w:tcPr>
          <w:p w14:paraId="501F57E0" w14:textId="77777777" w:rsidR="005E0C9E" w:rsidRPr="005E0C9E" w:rsidRDefault="005E0C9E" w:rsidP="005E0C9E">
            <w:pPr>
              <w:widowControl/>
              <w:rPr>
                <w:rFonts w:ascii="Arial" w:eastAsia="Times New Roman" w:hAnsi="Arial" w:cs="Arial"/>
                <w:sz w:val="20"/>
                <w:szCs w:val="20"/>
              </w:rPr>
            </w:pPr>
            <w:r w:rsidRPr="005E0C9E">
              <w:rPr>
                <w:rFonts w:ascii="Arial" w:eastAsia="Times New Roman" w:hAnsi="Arial" w:cs="Arial"/>
                <w:sz w:val="20"/>
                <w:szCs w:val="20"/>
              </w:rPr>
              <w:t xml:space="preserve"> £              500.00 </w:t>
            </w:r>
          </w:p>
        </w:tc>
        <w:tc>
          <w:tcPr>
            <w:tcW w:w="3544" w:type="dxa"/>
            <w:tcBorders>
              <w:top w:val="nil"/>
              <w:left w:val="nil"/>
              <w:bottom w:val="nil"/>
              <w:right w:val="single" w:sz="8" w:space="0" w:color="auto"/>
            </w:tcBorders>
            <w:shd w:val="clear" w:color="auto" w:fill="auto"/>
            <w:noWrap/>
            <w:vAlign w:val="center"/>
            <w:hideMark/>
          </w:tcPr>
          <w:p w14:paraId="5200D0CB" w14:textId="67B97E92" w:rsidR="005E0C9E" w:rsidRPr="005E0C9E" w:rsidRDefault="005E0C9E" w:rsidP="005E0C9E">
            <w:pPr>
              <w:widowControl/>
              <w:rPr>
                <w:rFonts w:ascii="Arial" w:eastAsia="Times New Roman" w:hAnsi="Arial" w:cs="Arial"/>
                <w:b/>
                <w:bCs/>
                <w:sz w:val="20"/>
                <w:szCs w:val="20"/>
              </w:rPr>
            </w:pPr>
          </w:p>
        </w:tc>
      </w:tr>
      <w:tr w:rsidR="005E0C9E" w:rsidRPr="005E0C9E" w14:paraId="506BCF2C" w14:textId="77777777" w:rsidTr="00BC4FEC">
        <w:trPr>
          <w:trHeight w:val="255"/>
        </w:trPr>
        <w:tc>
          <w:tcPr>
            <w:tcW w:w="3392" w:type="dxa"/>
            <w:tcBorders>
              <w:top w:val="nil"/>
              <w:left w:val="single" w:sz="8" w:space="0" w:color="auto"/>
              <w:bottom w:val="nil"/>
              <w:right w:val="single" w:sz="8" w:space="0" w:color="auto"/>
            </w:tcBorders>
            <w:shd w:val="clear" w:color="auto" w:fill="auto"/>
            <w:noWrap/>
            <w:vAlign w:val="center"/>
          </w:tcPr>
          <w:p w14:paraId="11A5F4AB" w14:textId="4E3440E9" w:rsidR="005E0C9E" w:rsidRPr="005E0C9E" w:rsidRDefault="005E0C9E" w:rsidP="005E0C9E">
            <w:pPr>
              <w:widowControl/>
              <w:rPr>
                <w:rFonts w:ascii="Arial" w:eastAsia="Times New Roman" w:hAnsi="Arial" w:cs="Arial"/>
                <w:sz w:val="20"/>
                <w:szCs w:val="20"/>
              </w:rPr>
            </w:pPr>
          </w:p>
        </w:tc>
        <w:tc>
          <w:tcPr>
            <w:tcW w:w="2268" w:type="dxa"/>
            <w:tcBorders>
              <w:top w:val="nil"/>
              <w:left w:val="single" w:sz="8" w:space="0" w:color="auto"/>
              <w:bottom w:val="nil"/>
              <w:right w:val="single" w:sz="8" w:space="0" w:color="auto"/>
            </w:tcBorders>
            <w:shd w:val="clear" w:color="auto" w:fill="auto"/>
            <w:noWrap/>
            <w:vAlign w:val="center"/>
          </w:tcPr>
          <w:p w14:paraId="28773CC2" w14:textId="040EFE09" w:rsidR="005E0C9E" w:rsidRPr="005E0C9E" w:rsidRDefault="005E0C9E" w:rsidP="005E0C9E">
            <w:pPr>
              <w:widowControl/>
              <w:rPr>
                <w:rFonts w:ascii="Arial" w:eastAsia="Times New Roman" w:hAnsi="Arial" w:cs="Arial"/>
                <w:sz w:val="20"/>
                <w:szCs w:val="20"/>
              </w:rPr>
            </w:pPr>
          </w:p>
        </w:tc>
        <w:tc>
          <w:tcPr>
            <w:tcW w:w="3544" w:type="dxa"/>
            <w:tcBorders>
              <w:top w:val="nil"/>
              <w:left w:val="nil"/>
              <w:bottom w:val="nil"/>
              <w:right w:val="single" w:sz="8" w:space="0" w:color="auto"/>
            </w:tcBorders>
            <w:shd w:val="clear" w:color="auto" w:fill="auto"/>
            <w:noWrap/>
            <w:vAlign w:val="center"/>
          </w:tcPr>
          <w:p w14:paraId="42123AF0" w14:textId="52398779" w:rsidR="005E0C9E" w:rsidRPr="005E0C9E" w:rsidRDefault="005E0C9E" w:rsidP="005E0C9E">
            <w:pPr>
              <w:widowControl/>
              <w:rPr>
                <w:rFonts w:ascii="Arial" w:eastAsia="Times New Roman" w:hAnsi="Arial" w:cs="Arial"/>
                <w:sz w:val="20"/>
                <w:szCs w:val="20"/>
              </w:rPr>
            </w:pPr>
          </w:p>
        </w:tc>
      </w:tr>
      <w:tr w:rsidR="005E0C9E" w:rsidRPr="005E0C9E" w14:paraId="73335BF3" w14:textId="77777777" w:rsidTr="007C2F17">
        <w:trPr>
          <w:trHeight w:val="255"/>
        </w:trPr>
        <w:tc>
          <w:tcPr>
            <w:tcW w:w="3392" w:type="dxa"/>
            <w:tcBorders>
              <w:top w:val="nil"/>
              <w:left w:val="single" w:sz="8" w:space="0" w:color="auto"/>
              <w:bottom w:val="nil"/>
              <w:right w:val="single" w:sz="8" w:space="0" w:color="auto"/>
            </w:tcBorders>
            <w:shd w:val="clear" w:color="auto" w:fill="auto"/>
            <w:noWrap/>
            <w:vAlign w:val="center"/>
            <w:hideMark/>
          </w:tcPr>
          <w:p w14:paraId="7734CED0" w14:textId="45AB19D7" w:rsidR="005E0C9E" w:rsidRPr="005E0C9E" w:rsidRDefault="005E0C9E" w:rsidP="005E0C9E">
            <w:pPr>
              <w:widowControl/>
              <w:rPr>
                <w:rFonts w:ascii="Arial" w:eastAsia="Times New Roman" w:hAnsi="Arial" w:cs="Arial"/>
                <w:sz w:val="20"/>
                <w:szCs w:val="20"/>
              </w:rPr>
            </w:pPr>
          </w:p>
        </w:tc>
        <w:tc>
          <w:tcPr>
            <w:tcW w:w="2268" w:type="dxa"/>
            <w:tcBorders>
              <w:top w:val="nil"/>
              <w:left w:val="single" w:sz="8" w:space="0" w:color="auto"/>
              <w:bottom w:val="nil"/>
              <w:right w:val="single" w:sz="8" w:space="0" w:color="auto"/>
            </w:tcBorders>
            <w:shd w:val="clear" w:color="auto" w:fill="auto"/>
            <w:noWrap/>
            <w:vAlign w:val="center"/>
            <w:hideMark/>
          </w:tcPr>
          <w:p w14:paraId="7CAF7359" w14:textId="54528112" w:rsidR="005E0C9E" w:rsidRPr="005E0C9E" w:rsidRDefault="005E0C9E" w:rsidP="005E0C9E">
            <w:pPr>
              <w:widowControl/>
              <w:rPr>
                <w:rFonts w:ascii="Arial" w:eastAsia="Times New Roman" w:hAnsi="Arial" w:cs="Arial"/>
                <w:sz w:val="20"/>
                <w:szCs w:val="20"/>
              </w:rPr>
            </w:pPr>
          </w:p>
        </w:tc>
        <w:tc>
          <w:tcPr>
            <w:tcW w:w="3544" w:type="dxa"/>
            <w:tcBorders>
              <w:top w:val="nil"/>
              <w:left w:val="nil"/>
              <w:bottom w:val="nil"/>
              <w:right w:val="single" w:sz="8" w:space="0" w:color="auto"/>
            </w:tcBorders>
            <w:shd w:val="clear" w:color="auto" w:fill="auto"/>
            <w:noWrap/>
            <w:vAlign w:val="center"/>
            <w:hideMark/>
          </w:tcPr>
          <w:p w14:paraId="189A5173" w14:textId="77777777" w:rsidR="005E0C9E" w:rsidRPr="005E0C9E" w:rsidRDefault="005E0C9E" w:rsidP="005E0C9E">
            <w:pPr>
              <w:widowControl/>
              <w:rPr>
                <w:rFonts w:ascii="Arial" w:eastAsia="Times New Roman" w:hAnsi="Arial" w:cs="Arial"/>
                <w:b/>
                <w:bCs/>
                <w:sz w:val="20"/>
                <w:szCs w:val="20"/>
              </w:rPr>
            </w:pPr>
            <w:r w:rsidRPr="005E0C9E">
              <w:rPr>
                <w:rFonts w:ascii="Arial" w:eastAsia="Times New Roman" w:hAnsi="Arial" w:cs="Arial"/>
                <w:b/>
                <w:bCs/>
                <w:sz w:val="20"/>
                <w:szCs w:val="20"/>
              </w:rPr>
              <w:t> </w:t>
            </w:r>
          </w:p>
        </w:tc>
      </w:tr>
      <w:tr w:rsidR="005E0C9E" w:rsidRPr="005E0C9E" w14:paraId="14AC9FDC" w14:textId="77777777" w:rsidTr="007C2F17">
        <w:trPr>
          <w:trHeight w:val="255"/>
        </w:trPr>
        <w:tc>
          <w:tcPr>
            <w:tcW w:w="3392" w:type="dxa"/>
            <w:tcBorders>
              <w:top w:val="nil"/>
              <w:left w:val="single" w:sz="8" w:space="0" w:color="auto"/>
              <w:bottom w:val="nil"/>
              <w:right w:val="single" w:sz="8" w:space="0" w:color="auto"/>
            </w:tcBorders>
            <w:shd w:val="clear" w:color="auto" w:fill="auto"/>
            <w:noWrap/>
            <w:vAlign w:val="center"/>
            <w:hideMark/>
          </w:tcPr>
          <w:p w14:paraId="145B7BCE" w14:textId="77777777" w:rsidR="005E0C9E" w:rsidRPr="005E0C9E" w:rsidRDefault="005E0C9E" w:rsidP="005E0C9E">
            <w:pPr>
              <w:widowControl/>
              <w:rPr>
                <w:rFonts w:ascii="Arial" w:eastAsia="Times New Roman" w:hAnsi="Arial" w:cs="Arial"/>
                <w:b/>
                <w:bCs/>
                <w:sz w:val="20"/>
                <w:szCs w:val="20"/>
              </w:rPr>
            </w:pPr>
            <w:r w:rsidRPr="005E0C9E">
              <w:rPr>
                <w:rFonts w:ascii="Arial" w:eastAsia="Times New Roman" w:hAnsi="Arial" w:cs="Arial"/>
                <w:b/>
                <w:bCs/>
                <w:sz w:val="20"/>
                <w:szCs w:val="20"/>
              </w:rPr>
              <w:t>Total</w:t>
            </w:r>
          </w:p>
        </w:tc>
        <w:tc>
          <w:tcPr>
            <w:tcW w:w="2268" w:type="dxa"/>
            <w:tcBorders>
              <w:top w:val="nil"/>
              <w:left w:val="single" w:sz="8" w:space="0" w:color="auto"/>
              <w:bottom w:val="nil"/>
              <w:right w:val="single" w:sz="8" w:space="0" w:color="auto"/>
            </w:tcBorders>
            <w:shd w:val="clear" w:color="auto" w:fill="auto"/>
            <w:noWrap/>
            <w:vAlign w:val="center"/>
            <w:hideMark/>
          </w:tcPr>
          <w:p w14:paraId="5A0A3D11" w14:textId="2C1BD055" w:rsidR="005E0C9E" w:rsidRPr="005E0C9E" w:rsidRDefault="005E0C9E" w:rsidP="005E0C9E">
            <w:pPr>
              <w:widowControl/>
              <w:rPr>
                <w:rFonts w:ascii="Arial" w:eastAsia="Times New Roman" w:hAnsi="Arial" w:cs="Arial"/>
                <w:b/>
                <w:bCs/>
                <w:sz w:val="20"/>
                <w:szCs w:val="20"/>
              </w:rPr>
            </w:pPr>
            <w:r w:rsidRPr="005E0C9E">
              <w:rPr>
                <w:rFonts w:ascii="Arial" w:eastAsia="Times New Roman" w:hAnsi="Arial" w:cs="Arial"/>
                <w:b/>
                <w:bCs/>
                <w:sz w:val="20"/>
                <w:szCs w:val="20"/>
              </w:rPr>
              <w:t xml:space="preserve"> £          2</w:t>
            </w:r>
            <w:r w:rsidR="000831DA">
              <w:rPr>
                <w:rFonts w:ascii="Arial" w:eastAsia="Times New Roman" w:hAnsi="Arial" w:cs="Arial"/>
                <w:b/>
                <w:bCs/>
                <w:sz w:val="20"/>
                <w:szCs w:val="20"/>
              </w:rPr>
              <w:t>7</w:t>
            </w:r>
            <w:r w:rsidRPr="005E0C9E">
              <w:rPr>
                <w:rFonts w:ascii="Arial" w:eastAsia="Times New Roman" w:hAnsi="Arial" w:cs="Arial"/>
                <w:b/>
                <w:bCs/>
                <w:sz w:val="20"/>
                <w:szCs w:val="20"/>
              </w:rPr>
              <w:t>,</w:t>
            </w:r>
            <w:r w:rsidR="000831DA">
              <w:rPr>
                <w:rFonts w:ascii="Arial" w:eastAsia="Times New Roman" w:hAnsi="Arial" w:cs="Arial"/>
                <w:b/>
                <w:bCs/>
                <w:sz w:val="20"/>
                <w:szCs w:val="20"/>
              </w:rPr>
              <w:t>8</w:t>
            </w:r>
            <w:r w:rsidRPr="005E0C9E">
              <w:rPr>
                <w:rFonts w:ascii="Arial" w:eastAsia="Times New Roman" w:hAnsi="Arial" w:cs="Arial"/>
                <w:b/>
                <w:bCs/>
                <w:sz w:val="20"/>
                <w:szCs w:val="20"/>
              </w:rPr>
              <w:t xml:space="preserve">11.82 </w:t>
            </w:r>
          </w:p>
        </w:tc>
        <w:tc>
          <w:tcPr>
            <w:tcW w:w="3544" w:type="dxa"/>
            <w:tcBorders>
              <w:top w:val="nil"/>
              <w:left w:val="nil"/>
              <w:bottom w:val="nil"/>
              <w:right w:val="single" w:sz="8" w:space="0" w:color="auto"/>
            </w:tcBorders>
            <w:shd w:val="clear" w:color="auto" w:fill="auto"/>
            <w:noWrap/>
            <w:vAlign w:val="center"/>
            <w:hideMark/>
          </w:tcPr>
          <w:p w14:paraId="017F88B8" w14:textId="77777777" w:rsidR="005E0C9E" w:rsidRPr="005E0C9E" w:rsidRDefault="005E0C9E" w:rsidP="005E0C9E">
            <w:pPr>
              <w:widowControl/>
              <w:rPr>
                <w:rFonts w:ascii="Arial" w:eastAsia="Times New Roman" w:hAnsi="Arial" w:cs="Arial"/>
                <w:b/>
                <w:bCs/>
                <w:sz w:val="20"/>
                <w:szCs w:val="20"/>
              </w:rPr>
            </w:pPr>
            <w:r w:rsidRPr="005E0C9E">
              <w:rPr>
                <w:rFonts w:ascii="Arial" w:eastAsia="Times New Roman" w:hAnsi="Arial" w:cs="Arial"/>
                <w:b/>
                <w:bCs/>
                <w:sz w:val="20"/>
                <w:szCs w:val="20"/>
              </w:rPr>
              <w:t> </w:t>
            </w:r>
          </w:p>
        </w:tc>
      </w:tr>
      <w:tr w:rsidR="005E0C9E" w:rsidRPr="005E0C9E" w14:paraId="70151C6D" w14:textId="77777777" w:rsidTr="007C2F17">
        <w:trPr>
          <w:trHeight w:val="255"/>
        </w:trPr>
        <w:tc>
          <w:tcPr>
            <w:tcW w:w="3392" w:type="dxa"/>
            <w:tcBorders>
              <w:top w:val="nil"/>
              <w:left w:val="single" w:sz="8" w:space="0" w:color="auto"/>
              <w:bottom w:val="single" w:sz="8" w:space="0" w:color="auto"/>
              <w:right w:val="single" w:sz="8" w:space="0" w:color="auto"/>
            </w:tcBorders>
            <w:shd w:val="clear" w:color="auto" w:fill="auto"/>
            <w:noWrap/>
            <w:vAlign w:val="center"/>
            <w:hideMark/>
          </w:tcPr>
          <w:p w14:paraId="3D7D8A6C" w14:textId="500B15DC" w:rsidR="005E0C9E" w:rsidRPr="005E0C9E" w:rsidRDefault="005E0C9E" w:rsidP="005E0C9E">
            <w:pPr>
              <w:widowControl/>
              <w:rPr>
                <w:rFonts w:ascii="Arial" w:eastAsia="Times New Roman" w:hAnsi="Arial" w:cs="Arial"/>
                <w:sz w:val="20"/>
                <w:szCs w:val="20"/>
              </w:rPr>
            </w:pPr>
          </w:p>
        </w:tc>
        <w:tc>
          <w:tcPr>
            <w:tcW w:w="2268" w:type="dxa"/>
            <w:tcBorders>
              <w:top w:val="nil"/>
              <w:left w:val="single" w:sz="8" w:space="0" w:color="auto"/>
              <w:bottom w:val="single" w:sz="8" w:space="0" w:color="auto"/>
              <w:right w:val="single" w:sz="8" w:space="0" w:color="auto"/>
            </w:tcBorders>
            <w:shd w:val="clear" w:color="auto" w:fill="auto"/>
            <w:noWrap/>
            <w:vAlign w:val="center"/>
            <w:hideMark/>
          </w:tcPr>
          <w:p w14:paraId="3EA64DB5" w14:textId="7C2E7BCF" w:rsidR="005E0C9E" w:rsidRPr="005E0C9E" w:rsidRDefault="005E0C9E" w:rsidP="005E0C9E">
            <w:pPr>
              <w:widowControl/>
              <w:rPr>
                <w:rFonts w:ascii="Arial" w:eastAsia="Times New Roman" w:hAnsi="Arial" w:cs="Arial"/>
                <w:b/>
                <w:bCs/>
                <w:sz w:val="20"/>
                <w:szCs w:val="20"/>
              </w:rPr>
            </w:pPr>
          </w:p>
        </w:tc>
        <w:tc>
          <w:tcPr>
            <w:tcW w:w="3544" w:type="dxa"/>
            <w:tcBorders>
              <w:top w:val="nil"/>
              <w:left w:val="nil"/>
              <w:bottom w:val="single" w:sz="8" w:space="0" w:color="auto"/>
              <w:right w:val="single" w:sz="8" w:space="0" w:color="auto"/>
            </w:tcBorders>
            <w:shd w:val="clear" w:color="auto" w:fill="auto"/>
            <w:noWrap/>
            <w:vAlign w:val="center"/>
            <w:hideMark/>
          </w:tcPr>
          <w:p w14:paraId="5412CB7B" w14:textId="77777777" w:rsidR="005E0C9E" w:rsidRPr="005E0C9E" w:rsidRDefault="005E0C9E" w:rsidP="005E0C9E">
            <w:pPr>
              <w:widowControl/>
              <w:rPr>
                <w:rFonts w:ascii="Arial" w:eastAsia="Times New Roman" w:hAnsi="Arial" w:cs="Arial"/>
                <w:b/>
                <w:bCs/>
                <w:sz w:val="20"/>
                <w:szCs w:val="20"/>
              </w:rPr>
            </w:pPr>
            <w:r w:rsidRPr="005E0C9E">
              <w:rPr>
                <w:rFonts w:ascii="Arial" w:eastAsia="Times New Roman" w:hAnsi="Arial" w:cs="Arial"/>
                <w:b/>
                <w:bCs/>
                <w:sz w:val="20"/>
                <w:szCs w:val="20"/>
              </w:rPr>
              <w:t> </w:t>
            </w:r>
          </w:p>
        </w:tc>
      </w:tr>
    </w:tbl>
    <w:p w14:paraId="43DD07AD" w14:textId="08EF1085" w:rsidR="004E613D" w:rsidRPr="00EF127E" w:rsidRDefault="00EF127E" w:rsidP="00EF127E">
      <w:pPr>
        <w:spacing w:before="222" w:line="219" w:lineRule="auto"/>
        <w:jc w:val="both"/>
        <w:rPr>
          <w:rFonts w:ascii="Arial" w:hAnsi="Arial" w:cs="Arial"/>
          <w:bCs/>
          <w:iCs/>
          <w:sz w:val="20"/>
          <w:szCs w:val="20"/>
        </w:rPr>
      </w:pPr>
      <w:r w:rsidRPr="00EF127E">
        <w:rPr>
          <w:rFonts w:ascii="Arial" w:hAnsi="Arial" w:cs="Arial"/>
          <w:bCs/>
          <w:iCs/>
          <w:sz w:val="20"/>
          <w:szCs w:val="20"/>
        </w:rPr>
        <w:t xml:space="preserve">The above levels of reserves </w:t>
      </w:r>
      <w:r>
        <w:rPr>
          <w:rFonts w:ascii="Arial" w:hAnsi="Arial" w:cs="Arial"/>
          <w:bCs/>
          <w:iCs/>
          <w:sz w:val="20"/>
          <w:szCs w:val="20"/>
        </w:rPr>
        <w:t xml:space="preserve">to be agreed at meeting as minuted and to </w:t>
      </w:r>
      <w:r w:rsidRPr="00EF127E">
        <w:rPr>
          <w:rFonts w:ascii="Arial" w:hAnsi="Arial" w:cs="Arial"/>
          <w:bCs/>
          <w:iCs/>
          <w:sz w:val="20"/>
          <w:szCs w:val="20"/>
        </w:rPr>
        <w:t xml:space="preserve">be reviewed again in </w:t>
      </w:r>
      <w:r>
        <w:rPr>
          <w:rFonts w:ascii="Arial" w:hAnsi="Arial" w:cs="Arial"/>
          <w:bCs/>
          <w:iCs/>
          <w:sz w:val="20"/>
          <w:szCs w:val="20"/>
        </w:rPr>
        <w:t xml:space="preserve">the 2025/2026 </w:t>
      </w:r>
      <w:r w:rsidRPr="00EF127E">
        <w:rPr>
          <w:rFonts w:ascii="Arial" w:hAnsi="Arial" w:cs="Arial"/>
          <w:bCs/>
          <w:iCs/>
          <w:sz w:val="20"/>
          <w:szCs w:val="20"/>
        </w:rPr>
        <w:t xml:space="preserve">budget </w:t>
      </w:r>
      <w:r>
        <w:rPr>
          <w:rFonts w:ascii="Arial" w:hAnsi="Arial" w:cs="Arial"/>
          <w:bCs/>
          <w:iCs/>
          <w:sz w:val="20"/>
          <w:szCs w:val="20"/>
        </w:rPr>
        <w:t>cycle or before if necessary.</w:t>
      </w:r>
    </w:p>
    <w:p w14:paraId="0000003E" w14:textId="77777777" w:rsidR="00256B85" w:rsidRPr="00EF127E" w:rsidRDefault="00256B85" w:rsidP="00EF127E">
      <w:pPr>
        <w:pBdr>
          <w:top w:val="nil"/>
          <w:left w:val="nil"/>
          <w:bottom w:val="nil"/>
          <w:right w:val="nil"/>
          <w:between w:val="nil"/>
        </w:pBdr>
        <w:spacing w:before="11"/>
        <w:jc w:val="both"/>
        <w:rPr>
          <w:rFonts w:ascii="Arial" w:hAnsi="Arial" w:cs="Arial"/>
          <w:bCs/>
          <w:iCs/>
          <w:sz w:val="20"/>
          <w:szCs w:val="20"/>
        </w:rPr>
      </w:pPr>
    </w:p>
    <w:p w14:paraId="00000040" w14:textId="33940FB2" w:rsidR="00256B85" w:rsidRPr="004E613D" w:rsidRDefault="00000000" w:rsidP="00EF127E">
      <w:pPr>
        <w:pBdr>
          <w:top w:val="nil"/>
          <w:left w:val="nil"/>
          <w:bottom w:val="nil"/>
          <w:right w:val="nil"/>
          <w:between w:val="nil"/>
        </w:pBdr>
        <w:tabs>
          <w:tab w:val="left" w:pos="3700"/>
        </w:tabs>
        <w:spacing w:line="219" w:lineRule="auto"/>
        <w:jc w:val="both"/>
        <w:rPr>
          <w:rFonts w:ascii="Arial" w:hAnsi="Arial" w:cs="Arial"/>
          <w:color w:val="000000"/>
          <w:sz w:val="20"/>
          <w:szCs w:val="20"/>
        </w:rPr>
      </w:pPr>
      <w:r w:rsidRPr="004E613D">
        <w:rPr>
          <w:rFonts w:ascii="Arial" w:hAnsi="Arial" w:cs="Arial"/>
          <w:color w:val="000000"/>
          <w:sz w:val="20"/>
          <w:szCs w:val="20"/>
        </w:rPr>
        <w:t>This policy was agreed and adopted on</w:t>
      </w:r>
      <w:r w:rsidRPr="004E613D">
        <w:rPr>
          <w:rFonts w:ascii="Arial" w:hAnsi="Arial" w:cs="Arial"/>
          <w:sz w:val="20"/>
          <w:szCs w:val="20"/>
        </w:rPr>
        <w:t xml:space="preserve"> </w:t>
      </w:r>
      <w:r w:rsidR="00BC4FEC">
        <w:rPr>
          <w:rFonts w:ascii="Arial" w:hAnsi="Arial" w:cs="Arial"/>
          <w:sz w:val="20"/>
          <w:szCs w:val="20"/>
        </w:rPr>
        <w:t>6</w:t>
      </w:r>
      <w:r w:rsidR="00BC4FEC" w:rsidRPr="00BC4FEC">
        <w:rPr>
          <w:rFonts w:ascii="Arial" w:hAnsi="Arial" w:cs="Arial"/>
          <w:sz w:val="20"/>
          <w:szCs w:val="20"/>
          <w:vertAlign w:val="superscript"/>
        </w:rPr>
        <w:t>th</w:t>
      </w:r>
      <w:r w:rsidR="00BC4FEC">
        <w:rPr>
          <w:rFonts w:ascii="Arial" w:hAnsi="Arial" w:cs="Arial"/>
          <w:sz w:val="20"/>
          <w:szCs w:val="20"/>
        </w:rPr>
        <w:t xml:space="preserve"> May </w:t>
      </w:r>
      <w:r w:rsidR="00EF127E">
        <w:rPr>
          <w:rFonts w:ascii="Arial" w:hAnsi="Arial" w:cs="Arial"/>
          <w:sz w:val="20"/>
          <w:szCs w:val="20"/>
        </w:rPr>
        <w:t>2025</w:t>
      </w:r>
    </w:p>
    <w:p w14:paraId="00000041" w14:textId="77777777" w:rsidR="00256B85" w:rsidRDefault="00256B85" w:rsidP="00EF127E">
      <w:pPr>
        <w:pBdr>
          <w:top w:val="nil"/>
          <w:left w:val="nil"/>
          <w:bottom w:val="nil"/>
          <w:right w:val="nil"/>
          <w:between w:val="nil"/>
        </w:pBdr>
        <w:tabs>
          <w:tab w:val="left" w:pos="3700"/>
        </w:tabs>
        <w:spacing w:line="219" w:lineRule="auto"/>
        <w:jc w:val="both"/>
        <w:rPr>
          <w:rFonts w:ascii="Arial" w:hAnsi="Arial" w:cs="Arial"/>
          <w:sz w:val="20"/>
          <w:szCs w:val="20"/>
        </w:rPr>
      </w:pPr>
    </w:p>
    <w:p w14:paraId="00000044" w14:textId="77777777" w:rsidR="00256B85" w:rsidRPr="004E613D" w:rsidRDefault="00256B85" w:rsidP="00EF127E">
      <w:pPr>
        <w:pBdr>
          <w:top w:val="nil"/>
          <w:left w:val="nil"/>
          <w:bottom w:val="nil"/>
          <w:right w:val="nil"/>
          <w:between w:val="nil"/>
        </w:pBdr>
        <w:tabs>
          <w:tab w:val="left" w:pos="3700"/>
        </w:tabs>
        <w:spacing w:line="219" w:lineRule="auto"/>
        <w:jc w:val="both"/>
        <w:rPr>
          <w:rFonts w:ascii="Arial" w:hAnsi="Arial" w:cs="Arial"/>
          <w:sz w:val="20"/>
          <w:szCs w:val="20"/>
        </w:rPr>
      </w:pPr>
    </w:p>
    <w:p w14:paraId="00000045" w14:textId="77777777" w:rsidR="00256B85" w:rsidRPr="004E613D" w:rsidRDefault="00256B85" w:rsidP="00EF127E">
      <w:pPr>
        <w:pBdr>
          <w:top w:val="nil"/>
          <w:left w:val="nil"/>
          <w:bottom w:val="nil"/>
          <w:right w:val="nil"/>
          <w:between w:val="nil"/>
        </w:pBdr>
        <w:tabs>
          <w:tab w:val="left" w:pos="3700"/>
        </w:tabs>
        <w:spacing w:line="219" w:lineRule="auto"/>
        <w:jc w:val="both"/>
        <w:rPr>
          <w:rFonts w:ascii="Arial" w:hAnsi="Arial" w:cs="Arial"/>
          <w:sz w:val="20"/>
          <w:szCs w:val="20"/>
        </w:rPr>
      </w:pPr>
    </w:p>
    <w:p w14:paraId="00000046" w14:textId="77777777" w:rsidR="00256B85" w:rsidRPr="004E613D" w:rsidRDefault="00000000" w:rsidP="00EF127E">
      <w:pPr>
        <w:pBdr>
          <w:top w:val="nil"/>
          <w:left w:val="nil"/>
          <w:bottom w:val="nil"/>
          <w:right w:val="nil"/>
          <w:between w:val="nil"/>
        </w:pBdr>
        <w:tabs>
          <w:tab w:val="left" w:pos="3700"/>
        </w:tabs>
        <w:spacing w:line="219" w:lineRule="auto"/>
        <w:jc w:val="both"/>
        <w:rPr>
          <w:rFonts w:ascii="Arial" w:hAnsi="Arial" w:cs="Arial"/>
          <w:color w:val="000000"/>
          <w:sz w:val="20"/>
          <w:szCs w:val="20"/>
        </w:rPr>
      </w:pPr>
      <w:r w:rsidRPr="004E613D">
        <w:rPr>
          <w:rFonts w:ascii="Arial" w:hAnsi="Arial" w:cs="Arial"/>
          <w:color w:val="000000"/>
          <w:sz w:val="20"/>
          <w:szCs w:val="20"/>
        </w:rPr>
        <w:t>Signed ……………………………………</w:t>
      </w:r>
    </w:p>
    <w:p w14:paraId="00000047" w14:textId="77777777" w:rsidR="00256B85" w:rsidRPr="004E613D" w:rsidRDefault="00256B85" w:rsidP="00EF127E">
      <w:pPr>
        <w:tabs>
          <w:tab w:val="left" w:pos="3700"/>
        </w:tabs>
        <w:spacing w:line="219" w:lineRule="auto"/>
        <w:jc w:val="both"/>
        <w:rPr>
          <w:rFonts w:ascii="Arial" w:hAnsi="Arial" w:cs="Arial"/>
          <w:sz w:val="20"/>
          <w:szCs w:val="20"/>
        </w:rPr>
      </w:pPr>
    </w:p>
    <w:p w14:paraId="00000048" w14:textId="77777777" w:rsidR="00256B85" w:rsidRPr="004E613D" w:rsidRDefault="00256B85" w:rsidP="00EF127E">
      <w:pPr>
        <w:tabs>
          <w:tab w:val="left" w:pos="3700"/>
        </w:tabs>
        <w:spacing w:line="219" w:lineRule="auto"/>
        <w:jc w:val="both"/>
        <w:rPr>
          <w:rFonts w:ascii="Arial" w:hAnsi="Arial" w:cs="Arial"/>
          <w:sz w:val="20"/>
          <w:szCs w:val="20"/>
        </w:rPr>
      </w:pPr>
    </w:p>
    <w:p w14:paraId="00000049" w14:textId="77777777" w:rsidR="00256B85" w:rsidRPr="004E613D" w:rsidRDefault="00000000" w:rsidP="00EF127E">
      <w:pPr>
        <w:tabs>
          <w:tab w:val="left" w:pos="3700"/>
        </w:tabs>
        <w:spacing w:line="219" w:lineRule="auto"/>
        <w:jc w:val="both"/>
        <w:rPr>
          <w:rFonts w:ascii="Arial" w:hAnsi="Arial" w:cs="Arial"/>
          <w:sz w:val="20"/>
          <w:szCs w:val="20"/>
        </w:rPr>
      </w:pPr>
      <w:r w:rsidRPr="004E613D">
        <w:rPr>
          <w:rFonts w:ascii="Arial" w:hAnsi="Arial" w:cs="Arial"/>
          <w:sz w:val="20"/>
          <w:szCs w:val="20"/>
        </w:rPr>
        <w:t>Chairman</w:t>
      </w:r>
    </w:p>
    <w:p w14:paraId="0000004A" w14:textId="31772E41" w:rsidR="00256B85" w:rsidRPr="004E613D" w:rsidRDefault="00000000" w:rsidP="00EF127E">
      <w:pPr>
        <w:tabs>
          <w:tab w:val="left" w:pos="3700"/>
        </w:tabs>
        <w:spacing w:line="219" w:lineRule="auto"/>
        <w:jc w:val="both"/>
        <w:rPr>
          <w:rFonts w:ascii="Arial" w:hAnsi="Arial" w:cs="Arial"/>
          <w:color w:val="000000"/>
          <w:sz w:val="20"/>
          <w:szCs w:val="20"/>
        </w:rPr>
      </w:pPr>
      <w:r w:rsidRPr="004E613D">
        <w:rPr>
          <w:rFonts w:ascii="Arial" w:hAnsi="Arial" w:cs="Arial"/>
          <w:sz w:val="20"/>
          <w:szCs w:val="20"/>
        </w:rPr>
        <w:t>Chaddleworth Parish Council</w:t>
      </w:r>
    </w:p>
    <w:sectPr w:rsidR="00256B85" w:rsidRPr="004E613D">
      <w:pgSz w:w="11910" w:h="16840"/>
      <w:pgMar w:top="1560" w:right="1340" w:bottom="280" w:left="13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00006FF" w:usb1="4000205B" w:usb2="00000010" w:usb3="00000000" w:csb0="0000019F"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ED87896"/>
    <w:multiLevelType w:val="hybridMultilevel"/>
    <w:tmpl w:val="D7568EC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6A587070"/>
    <w:multiLevelType w:val="multilevel"/>
    <w:tmpl w:val="7E6EBF92"/>
    <w:lvl w:ilvl="0">
      <w:start w:val="1"/>
      <w:numFmt w:val="decimal"/>
      <w:lvlText w:val="%1)"/>
      <w:lvlJc w:val="left"/>
      <w:pPr>
        <w:ind w:left="100" w:hanging="259"/>
      </w:pPr>
      <w:rPr>
        <w:rFonts w:ascii="Verdana" w:eastAsia="Verdana" w:hAnsi="Verdana" w:cs="Verdana"/>
        <w:b w:val="0"/>
        <w:i w:val="0"/>
        <w:sz w:val="18"/>
        <w:szCs w:val="18"/>
      </w:rPr>
    </w:lvl>
    <w:lvl w:ilvl="1">
      <w:numFmt w:val="bullet"/>
      <w:lvlText w:val="•"/>
      <w:lvlJc w:val="left"/>
      <w:pPr>
        <w:ind w:left="1012" w:hanging="258"/>
      </w:pPr>
    </w:lvl>
    <w:lvl w:ilvl="2">
      <w:numFmt w:val="bullet"/>
      <w:lvlText w:val="•"/>
      <w:lvlJc w:val="left"/>
      <w:pPr>
        <w:ind w:left="1925" w:hanging="259"/>
      </w:pPr>
    </w:lvl>
    <w:lvl w:ilvl="3">
      <w:numFmt w:val="bullet"/>
      <w:lvlText w:val="•"/>
      <w:lvlJc w:val="left"/>
      <w:pPr>
        <w:ind w:left="2837" w:hanging="259"/>
      </w:pPr>
    </w:lvl>
    <w:lvl w:ilvl="4">
      <w:numFmt w:val="bullet"/>
      <w:lvlText w:val="•"/>
      <w:lvlJc w:val="left"/>
      <w:pPr>
        <w:ind w:left="3750" w:hanging="259"/>
      </w:pPr>
    </w:lvl>
    <w:lvl w:ilvl="5">
      <w:numFmt w:val="bullet"/>
      <w:lvlText w:val="•"/>
      <w:lvlJc w:val="left"/>
      <w:pPr>
        <w:ind w:left="4663" w:hanging="259"/>
      </w:pPr>
    </w:lvl>
    <w:lvl w:ilvl="6">
      <w:numFmt w:val="bullet"/>
      <w:lvlText w:val="•"/>
      <w:lvlJc w:val="left"/>
      <w:pPr>
        <w:ind w:left="5575" w:hanging="259"/>
      </w:pPr>
    </w:lvl>
    <w:lvl w:ilvl="7">
      <w:numFmt w:val="bullet"/>
      <w:lvlText w:val="•"/>
      <w:lvlJc w:val="left"/>
      <w:pPr>
        <w:ind w:left="6488" w:hanging="259"/>
      </w:pPr>
    </w:lvl>
    <w:lvl w:ilvl="8">
      <w:numFmt w:val="bullet"/>
      <w:lvlText w:val="•"/>
      <w:lvlJc w:val="left"/>
      <w:pPr>
        <w:ind w:left="7401" w:hanging="259"/>
      </w:pPr>
    </w:lvl>
  </w:abstractNum>
  <w:num w:numId="1" w16cid:durableId="1479303801">
    <w:abstractNumId w:val="1"/>
  </w:num>
  <w:num w:numId="2" w16cid:durableId="56822819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56B85"/>
    <w:rsid w:val="000831DA"/>
    <w:rsid w:val="000A51AE"/>
    <w:rsid w:val="00166B62"/>
    <w:rsid w:val="001A56AB"/>
    <w:rsid w:val="00256B85"/>
    <w:rsid w:val="004E613D"/>
    <w:rsid w:val="00506B31"/>
    <w:rsid w:val="005E0C9E"/>
    <w:rsid w:val="0065419A"/>
    <w:rsid w:val="00761487"/>
    <w:rsid w:val="007C2F17"/>
    <w:rsid w:val="00BC4FEC"/>
    <w:rsid w:val="00C56987"/>
    <w:rsid w:val="00EF127E"/>
    <w:rsid w:val="00F919D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1EB7438"/>
  <w15:docId w15:val="{D787ED65-FF6C-46F8-B80E-DDB6F1D212E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Verdana" w:eastAsia="Verdana" w:hAnsi="Verdana" w:cs="Verdana"/>
        <w:sz w:val="22"/>
        <w:szCs w:val="22"/>
        <w:lang w:val="en-GB" w:eastAsia="en-GB" w:bidi="ar-SA"/>
      </w:rPr>
    </w:rPrDefault>
    <w:pPrDefault>
      <w:pPr>
        <w:widowControl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E613D"/>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uiPriority w:val="10"/>
    <w:qFormat/>
    <w:pPr>
      <w:spacing w:before="79"/>
      <w:ind w:left="914"/>
    </w:pPr>
    <w:rPr>
      <w:b/>
      <w:bCs/>
      <w:i/>
      <w:iCs/>
      <w:sz w:val="24"/>
      <w:szCs w:val="24"/>
    </w:rPr>
  </w:style>
  <w:style w:type="paragraph" w:styleId="BodyText">
    <w:name w:val="Body Text"/>
    <w:basedOn w:val="Normal"/>
    <w:uiPriority w:val="1"/>
    <w:qFormat/>
    <w:pPr>
      <w:ind w:left="100"/>
    </w:pPr>
    <w:rPr>
      <w:sz w:val="18"/>
      <w:szCs w:val="18"/>
    </w:rPr>
  </w:style>
  <w:style w:type="paragraph" w:styleId="ListParagraph">
    <w:name w:val="List Paragraph"/>
    <w:basedOn w:val="Normal"/>
    <w:uiPriority w:val="1"/>
    <w:qFormat/>
    <w:pPr>
      <w:ind w:left="100"/>
    </w:pPr>
  </w:style>
  <w:style w:type="paragraph" w:customStyle="1" w:styleId="TableParagraph">
    <w:name w:val="Table Paragraph"/>
    <w:basedOn w:val="Normal"/>
    <w:uiPriority w:val="1"/>
    <w:qFormat/>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800608000">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2YKu+JzibMRQPqVft6uCGcqmxcg==">CgMxLjA4AHIhMUEyc1hxNG4xTzVTemd5Y1h5MkdXOWo2UURVb3ZkX25j</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28</TotalTime>
  <Pages>2</Pages>
  <Words>964</Words>
  <Characters>5501</Characters>
  <Application>Microsoft Office Word</Application>
  <DocSecurity>0</DocSecurity>
  <Lines>45</Lines>
  <Paragraphs>12</Paragraphs>
  <ScaleCrop>false</ScaleCrop>
  <Company/>
  <LinksUpToDate>false</LinksUpToDate>
  <CharactersWithSpaces>6453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sandi</dc:creator>
  <cp:lastModifiedBy>David Jennings</cp:lastModifiedBy>
  <cp:revision>11</cp:revision>
  <cp:lastPrinted>2024-05-27T09:59:00Z</cp:lastPrinted>
  <dcterms:created xsi:type="dcterms:W3CDTF">2023-05-09T11:46:00Z</dcterms:created>
  <dcterms:modified xsi:type="dcterms:W3CDTF">2025-05-05T16:46:00Z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2018-06-08T00:00:00Z</vt:filetime>
  </property>
  <property fmtid="{D5CDD505-2E9C-101B-9397-08002B2CF9AE}" pid="3" name="Creator">
    <vt:lpwstr>Microsoft® Word 2010</vt:lpwstr>
  </property>
  <property fmtid="{D5CDD505-2E9C-101B-9397-08002B2CF9AE}" pid="4" name="LastSaved">
    <vt:filetime>2023-05-09T00:00:00Z</vt:filetime>
  </property>
</Properties>
</file>