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3858" w:rsidRDefault="00F03858" w:rsidP="00F03858">
      <w:pPr>
        <w:pStyle w:val="Heading1"/>
      </w:pPr>
      <w:r>
        <w:t xml:space="preserve">Ownership of Culverts </w:t>
      </w:r>
    </w:p>
    <w:p w:rsidR="00F03858" w:rsidRDefault="00F03858"/>
    <w:p w:rsidR="00CA12FA" w:rsidRDefault="00F03858">
      <w:r>
        <w:t>Responsibility for the maintenance of any culverted watercourse usually lies with the ‘riparian owner’. However, so</w:t>
      </w:r>
      <w:bookmarkStart w:id="0" w:name="_GoBack"/>
      <w:bookmarkEnd w:id="0"/>
      <w:r>
        <w:t>me culverts under roads may be the responsibility of the relevant Highway Authority, or other body, for historic reasons. It should be noted that, there generally exists no duty on the Highway Authority to adopt culverts. Where the ownership of a watercourse culvert cannot be established, then it is assumed to be the responsibility of the riparian owner. Many private companies have rights to place other types of culvert in the highway, carrying pipes or cables, for example. These culverts generally remain the responsibility of the owner. The County Council maintains an inventory of culverts in or under the public highway, together with ownership details.</w:t>
      </w:r>
    </w:p>
    <w:p w:rsidR="00F03858" w:rsidRDefault="00F03858"/>
    <w:p w:rsidR="00F03858" w:rsidRDefault="00F03858"/>
    <w:sectPr w:rsidR="00F0385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3858"/>
    <w:rsid w:val="00133D08"/>
    <w:rsid w:val="00CA12FA"/>
    <w:rsid w:val="00F0385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F0385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03858"/>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F0385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03858"/>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120</Words>
  <Characters>684</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cp:revision>
  <dcterms:created xsi:type="dcterms:W3CDTF">2024-02-25T10:46:00Z</dcterms:created>
  <dcterms:modified xsi:type="dcterms:W3CDTF">2025-02-13T18:37:00Z</dcterms:modified>
</cp:coreProperties>
</file>