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THE WHITE SWAN WIGHILL ON WEDNESDAY 26 APRIL 2017</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A Roberts, Mr N Walne. Mr L T I Grant (Clerk/RFO)</w:t>
      </w:r>
    </w:p>
    <w:p>
      <w:pPr>
        <w:pStyle w:val="Normal"/>
        <w:spacing w:before="0" w:after="0"/>
        <w:jc w:val="both"/>
        <w:rPr/>
      </w:pPr>
      <w:r>
        <w:rPr>
          <w:b/>
          <w:bCs/>
          <w:sz w:val="24"/>
          <w:szCs w:val="24"/>
        </w:rPr>
        <w:t>Prospective County Councillor:</w:t>
      </w:r>
      <w:r>
        <w:rPr>
          <w:b w:val="false"/>
          <w:bCs w:val="false"/>
          <w:sz w:val="24"/>
          <w:szCs w:val="24"/>
        </w:rPr>
        <w:t xml:space="preserve"> Mr Andrew Paraskos</w:t>
      </w:r>
    </w:p>
    <w:p>
      <w:pPr>
        <w:pStyle w:val="Normal"/>
        <w:spacing w:before="0" w:after="0"/>
        <w:jc w:val="both"/>
        <w:rPr/>
      </w:pPr>
      <w:r>
        <w:rPr>
          <w:b/>
          <w:bCs/>
          <w:sz w:val="24"/>
          <w:szCs w:val="24"/>
        </w:rPr>
        <w:t xml:space="preserve">North Yorkshire Police: </w:t>
      </w:r>
      <w:r>
        <w:rPr>
          <w:b w:val="false"/>
          <w:bCs w:val="false"/>
          <w:sz w:val="24"/>
          <w:szCs w:val="24"/>
        </w:rPr>
        <w:t xml:space="preserve">Beat Manager Marie Scott, PCSO Alastair Graham-Merrett           </w:t>
      </w:r>
      <w:r>
        <w:rPr>
          <w:b/>
          <w:bCs/>
          <w:sz w:val="24"/>
          <w:szCs w:val="24"/>
        </w:rPr>
        <w:t xml:space="preserve"> </w:t>
      </w:r>
      <w:r>
        <w:rPr>
          <w:sz w:val="24"/>
          <w:szCs w:val="24"/>
        </w:rPr>
        <w:t xml:space="preserve">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2" w:type="dxa"/>
        <w:jc w:val="left"/>
        <w:tblInd w:w="-58" w:type="dxa"/>
        <w:tblBorders/>
        <w:tblCellMar>
          <w:top w:w="55" w:type="dxa"/>
          <w:left w:w="55" w:type="dxa"/>
          <w:bottom w:w="55" w:type="dxa"/>
          <w:right w:w="55" w:type="dxa"/>
        </w:tblCellMar>
        <w:tblLook w:firstRow="0" w:noVBand="0" w:lastRow="0" w:firstColumn="0" w:lastColumn="0" w:noHBand="0" w:val="0000"/>
      </w:tblPr>
      <w:tblGrid>
        <w:gridCol w:w="916"/>
        <w:gridCol w:w="7581"/>
        <w:gridCol w:w="825"/>
      </w:tblGrid>
      <w:tr>
        <w:trPr/>
        <w:tc>
          <w:tcPr>
            <w:tcW w:w="916" w:type="dxa"/>
            <w:tcBorders/>
            <w:shd w:color="auto" w:fill="FFFFFF" w:val="clear"/>
          </w:tcPr>
          <w:p>
            <w:pPr>
              <w:pStyle w:val="Normal"/>
              <w:spacing w:lineRule="auto" w:line="240" w:before="0" w:after="0"/>
              <w:jc w:val="both"/>
              <w:rPr>
                <w:b/>
                <w:b/>
                <w:sz w:val="24"/>
                <w:szCs w:val="24"/>
              </w:rPr>
            </w:pPr>
            <w:r>
              <w:rPr>
                <w:b/>
                <w:sz w:val="24"/>
                <w:szCs w:val="24"/>
              </w:rPr>
              <w:t>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Cllrs Mr R Parkin, Mr S Oates</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916" w:type="dxa"/>
            <w:tcBorders/>
            <w:shd w:color="auto" w:fill="FFFFFF" w:val="clear"/>
          </w:tcPr>
          <w:p>
            <w:pPr>
              <w:pStyle w:val="Normal"/>
              <w:spacing w:lineRule="auto" w:line="240" w:before="0" w:after="0"/>
              <w:jc w:val="both"/>
              <w:rPr/>
            </w:pPr>
            <w:r>
              <w:rPr>
                <w:b/>
                <w:sz w:val="24"/>
                <w:szCs w:val="24"/>
              </w:rPr>
              <w:t>3.</w:t>
            </w:r>
          </w:p>
        </w:tc>
        <w:tc>
          <w:tcPr>
            <w:tcW w:w="7581" w:type="dxa"/>
            <w:tcBorders/>
            <w:shd w:color="auto" w:fill="FFFFFF" w:val="clear"/>
          </w:tcPr>
          <w:p>
            <w:pPr>
              <w:pStyle w:val="Normal"/>
              <w:spacing w:lineRule="auto" w:line="240" w:before="0" w:after="0"/>
              <w:jc w:val="both"/>
              <w:rPr/>
            </w:pPr>
            <w:r>
              <w:rPr>
                <w:b/>
                <w:sz w:val="24"/>
                <w:szCs w:val="24"/>
                <w:u w:val="single"/>
              </w:rPr>
              <w:t>Minutes of the Meeting Held on 25.01.17 &amp; 15.02.17</w:t>
            </w:r>
          </w:p>
          <w:p>
            <w:pPr>
              <w:pStyle w:val="Normal"/>
              <w:spacing w:lineRule="auto" w:line="240" w:before="0" w:after="0"/>
              <w:jc w:val="both"/>
              <w:rPr/>
            </w:pPr>
            <w:r>
              <w:rPr>
                <w:sz w:val="24"/>
                <w:szCs w:val="24"/>
              </w:rPr>
              <w:t>The minutes of the meetings held on 25.01.17 &amp; 15.02.17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bookmarkStart w:id="0" w:name="_GoBack"/>
            <w:bookmarkStart w:id="1" w:name="_GoBack"/>
            <w:bookmarkEnd w:id="1"/>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4.</w:t>
            </w:r>
          </w:p>
          <w:p>
            <w:pPr>
              <w:pStyle w:val="Normal"/>
              <w:spacing w:lineRule="auto" w:line="240" w:before="0" w:after="0"/>
              <w:jc w:val="both"/>
              <w:rPr/>
            </w:pPr>
            <w:r>
              <w:rPr>
                <w:sz w:val="24"/>
                <w:szCs w:val="24"/>
              </w:rPr>
              <w:t>4.1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pPr>
            <w:r>
              <w:rPr>
                <w:sz w:val="24"/>
                <w:szCs w:val="24"/>
              </w:rPr>
              <w:t>4.2</w:t>
            </w:r>
          </w:p>
        </w:tc>
        <w:tc>
          <w:tcPr>
            <w:tcW w:w="7581" w:type="dxa"/>
            <w:tcBorders/>
            <w:shd w:color="auto" w:fill="FFFFFF" w:val="clear"/>
          </w:tcPr>
          <w:p>
            <w:pPr>
              <w:pStyle w:val="Normal"/>
              <w:spacing w:lineRule="auto" w:line="240" w:before="0" w:after="0"/>
              <w:jc w:val="both"/>
              <w:rPr/>
            </w:pPr>
            <w:r>
              <w:rPr>
                <w:b/>
                <w:sz w:val="24"/>
                <w:szCs w:val="24"/>
                <w:u w:val="single"/>
              </w:rPr>
              <w:t>Matters Arising from the Minutes of the Meeting held on 22.06.16</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b w:val="false"/>
                <w:bCs w:val="false"/>
                <w:sz w:val="24"/>
                <w:szCs w:val="24"/>
              </w:rPr>
              <w:t>The reflective signs fixed to the stone plinths at each end of the Village, have been replaced.</w:t>
            </w:r>
          </w:p>
          <w:p>
            <w:pPr>
              <w:pStyle w:val="Normal"/>
              <w:spacing w:lineRule="auto" w:line="240" w:before="0" w:after="0"/>
              <w:jc w:val="both"/>
              <w:rPr>
                <w:sz w:val="24"/>
                <w:szCs w:val="24"/>
                <w:u w:val="single"/>
              </w:rPr>
            </w:pPr>
            <w:r>
              <w:rPr>
                <w:sz w:val="24"/>
                <w:szCs w:val="24"/>
                <w:u w:val="single"/>
              </w:rPr>
              <w:t>Street Lighting Issues</w:t>
            </w:r>
          </w:p>
          <w:p>
            <w:pPr>
              <w:pStyle w:val="Normal"/>
              <w:spacing w:lineRule="auto" w:line="240" w:before="0" w:after="0"/>
              <w:jc w:val="both"/>
              <w:rPr/>
            </w:pPr>
            <w:r>
              <w:rPr>
                <w:sz w:val="24"/>
                <w:szCs w:val="24"/>
                <w:u w:val="none"/>
              </w:rPr>
              <w:t>Repairs have been completed to all defective street lamps.</w:t>
            </w:r>
          </w:p>
          <w:p>
            <w:pPr>
              <w:pStyle w:val="Normal"/>
              <w:spacing w:lineRule="auto" w:line="240" w:before="0" w:after="0"/>
              <w:jc w:val="both"/>
              <w:rPr>
                <w:u w:val="none"/>
              </w:rPr>
            </w:pPr>
            <w:r>
              <w:rPr>
                <w:u w:val="none"/>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 xml:space="preserve">5. </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Police Matters</w:t>
            </w:r>
          </w:p>
          <w:p>
            <w:pPr>
              <w:pStyle w:val="Normal"/>
              <w:tabs>
                <w:tab w:val="left" w:pos="6548" w:leader="none"/>
              </w:tabs>
              <w:spacing w:lineRule="auto" w:line="240" w:before="0" w:after="0"/>
              <w:jc w:val="both"/>
              <w:rPr/>
            </w:pPr>
            <w:r>
              <w:rPr>
                <w:sz w:val="24"/>
                <w:szCs w:val="24"/>
              </w:rPr>
              <w:t>The Community Police Beat Manager and PCSO confirmed that there were no crimes to report in Wighill.</w:t>
            </w:r>
          </w:p>
          <w:p>
            <w:pPr>
              <w:pStyle w:val="Normal"/>
              <w:tabs>
                <w:tab w:val="left" w:pos="6548" w:leader="none"/>
              </w:tabs>
              <w:spacing w:lineRule="auto" w:line="240" w:before="0" w:after="0"/>
              <w:jc w:val="both"/>
              <w:rPr>
                <w:sz w:val="24"/>
                <w:szCs w:val="24"/>
              </w:rPr>
            </w:pPr>
            <w:r>
              <w:rPr>
                <w:sz w:val="24"/>
                <w:szCs w:val="24"/>
              </w:rPr>
              <w:tab/>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color="auto" w:fill="FFFFFF" w:val="clear"/>
          </w:tcPr>
          <w:p>
            <w:pPr>
              <w:pStyle w:val="Normal"/>
              <w:spacing w:lineRule="auto" w:line="240" w:before="0" w:after="0"/>
              <w:jc w:val="both"/>
              <w:rPr/>
            </w:pPr>
            <w:r>
              <w:rPr>
                <w:b/>
                <w:sz w:val="24"/>
                <w:szCs w:val="24"/>
              </w:rPr>
              <w:t>6.</w:t>
            </w:r>
          </w:p>
          <w:p>
            <w:pPr>
              <w:pStyle w:val="Normal"/>
              <w:spacing w:lineRule="auto" w:line="240" w:before="0" w:after="0"/>
              <w:jc w:val="both"/>
              <w:rPr/>
            </w:pPr>
            <w:r>
              <w:rPr>
                <w:sz w:val="24"/>
                <w:szCs w:val="24"/>
              </w:rPr>
              <w:t>6.1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sz w:val="24"/>
                <w:szCs w:val="24"/>
                <w:u w:val="single"/>
              </w:rPr>
            </w:pPr>
            <w:r>
              <w:rPr>
                <w:sz w:val="24"/>
                <w:szCs w:val="24"/>
                <w:u w:val="single"/>
              </w:rPr>
              <w:t>Funds Received</w:t>
            </w:r>
          </w:p>
          <w:p>
            <w:pPr>
              <w:pStyle w:val="Normal"/>
              <w:numPr>
                <w:ilvl w:val="0"/>
                <w:numId w:val="1"/>
              </w:numPr>
              <w:spacing w:lineRule="auto" w:line="240" w:before="0" w:after="0"/>
              <w:jc w:val="both"/>
              <w:rPr/>
            </w:pPr>
            <w:r>
              <w:rPr>
                <w:b w:val="false"/>
                <w:bCs w:val="false"/>
                <w:sz w:val="24"/>
                <w:szCs w:val="24"/>
              </w:rPr>
              <w:t>None received</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1607" w:hRule="atLeast"/>
        </w:trPr>
        <w:tc>
          <w:tcPr>
            <w:tcW w:w="916" w:type="dxa"/>
            <w:tcBorders/>
            <w:shd w:color="auto" w:fill="FFFFFF" w:val="clear"/>
          </w:tcPr>
          <w:p>
            <w:pPr>
              <w:pStyle w:val="Normal"/>
              <w:spacing w:lineRule="auto" w:line="240" w:before="0" w:after="0"/>
              <w:jc w:val="both"/>
              <w:rPr/>
            </w:pPr>
            <w:r>
              <w:rPr>
                <w:sz w:val="24"/>
                <w:szCs w:val="24"/>
              </w:rPr>
              <w:t>6.2</w:t>
            </w:r>
          </w:p>
        </w:tc>
        <w:tc>
          <w:tcPr>
            <w:tcW w:w="7581" w:type="dxa"/>
            <w:tcBorders/>
            <w:shd w:color="auto" w:fill="FFFFFF" w:val="clear"/>
          </w:tcPr>
          <w:p>
            <w:pPr>
              <w:pStyle w:val="Normal"/>
              <w:spacing w:lineRule="auto" w:line="240" w:before="0" w:after="0"/>
              <w:jc w:val="both"/>
              <w:rPr/>
            </w:pPr>
            <w:r>
              <w:rPr>
                <w:sz w:val="24"/>
                <w:szCs w:val="24"/>
              </w:rPr>
              <w:t>The Bank Balances at 31.03.17 were</w:t>
            </w:r>
          </w:p>
          <w:p>
            <w:pPr>
              <w:pStyle w:val="ListParagraph"/>
              <w:numPr>
                <w:ilvl w:val="0"/>
                <w:numId w:val="4"/>
              </w:numPr>
              <w:spacing w:lineRule="auto" w:line="240" w:before="0" w:after="0"/>
              <w:jc w:val="both"/>
              <w:rPr/>
            </w:pPr>
            <w:r>
              <w:rPr>
                <w:sz w:val="24"/>
                <w:szCs w:val="24"/>
              </w:rPr>
              <w:t>Business Money Management £1,031.68</w:t>
            </w:r>
          </w:p>
          <w:p>
            <w:pPr>
              <w:pStyle w:val="ListParagraph"/>
              <w:numPr>
                <w:ilvl w:val="0"/>
                <w:numId w:val="4"/>
              </w:numPr>
              <w:spacing w:lineRule="auto" w:line="240" w:before="0" w:after="0"/>
              <w:jc w:val="both"/>
              <w:rPr/>
            </w:pPr>
            <w:r>
              <w:rPr>
                <w:sz w:val="24"/>
                <w:szCs w:val="24"/>
              </w:rPr>
              <w:t>Community Account £0.00</w:t>
            </w:r>
          </w:p>
          <w:p>
            <w:pPr>
              <w:pStyle w:val="Normal"/>
              <w:spacing w:lineRule="auto" w:line="240" w:before="0" w:after="0"/>
              <w:jc w:val="both"/>
              <w:rPr/>
            </w:pPr>
            <w:r>
              <w:rPr>
                <w:sz w:val="24"/>
                <w:szCs w:val="24"/>
              </w:rPr>
              <w:t xml:space="preserve">There were no comments or queries from Councillors about the PC’s bank accounts or financial statements circulated. </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color="auto" w:fill="FFFFFF" w:val="clear"/>
          </w:tcPr>
          <w:p>
            <w:pPr>
              <w:pStyle w:val="Normal"/>
              <w:spacing w:lineRule="auto" w:line="240" w:before="0" w:after="0"/>
              <w:jc w:val="both"/>
              <w:rPr>
                <w:sz w:val="24"/>
                <w:szCs w:val="24"/>
              </w:rPr>
            </w:pPr>
            <w:r>
              <w:rPr>
                <w:sz w:val="24"/>
                <w:szCs w:val="24"/>
              </w:rPr>
              <w:t>6.3</w:t>
            </w:r>
          </w:p>
        </w:tc>
        <w:tc>
          <w:tcPr>
            <w:tcW w:w="7581" w:type="dxa"/>
            <w:tcBorders/>
            <w:shd w:color="auto" w:fill="FFFFFF" w:val="clear"/>
          </w:tcPr>
          <w:p>
            <w:pPr>
              <w:pStyle w:val="Normal"/>
              <w:spacing w:lineRule="auto" w:line="240" w:before="0" w:after="0"/>
              <w:jc w:val="both"/>
              <w:rPr/>
            </w:pPr>
            <w:r>
              <w:rPr>
                <w:u w:val="single"/>
              </w:rPr>
              <w:t>I</w:t>
            </w:r>
            <w:r>
              <w:rPr>
                <w:sz w:val="24"/>
                <w:szCs w:val="24"/>
                <w:u w:val="single"/>
              </w:rPr>
              <w:t>nvoices Received and to be Paid</w:t>
            </w:r>
          </w:p>
          <w:p>
            <w:pPr>
              <w:pStyle w:val="Normal"/>
              <w:spacing w:lineRule="auto" w:line="240" w:before="0" w:after="0"/>
              <w:jc w:val="both"/>
              <w:rPr>
                <w:b w:val="false"/>
                <w:b w:val="false"/>
                <w:bCs w:val="false"/>
              </w:rPr>
            </w:pPr>
            <w:r>
              <w:rPr>
                <w:b w:val="false"/>
                <w:bCs w:val="false"/>
                <w:sz w:val="24"/>
                <w:szCs w:val="24"/>
                <w:u w:val="none"/>
              </w:rPr>
              <w:t>The Clerk confirmed that he had underpaid himself last year and would correct the error next month.</w:t>
            </w:r>
          </w:p>
          <w:p>
            <w:pPr>
              <w:pStyle w:val="Normal"/>
              <w:numPr>
                <w:ilvl w:val="0"/>
                <w:numId w:val="0"/>
              </w:numPr>
              <w:spacing w:lineRule="auto" w:line="240" w:before="0" w:after="0"/>
              <w:ind w:left="720" w:hanging="0"/>
              <w:jc w:val="both"/>
              <w:rPr>
                <w:sz w:val="24"/>
                <w:szCs w:val="24"/>
                <w:u w:val="none"/>
              </w:rPr>
            </w:pPr>
            <w:r>
              <w:rPr>
                <w:sz w:val="24"/>
                <w:szCs w:val="24"/>
                <w:u w:val="none"/>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916" w:type="dxa"/>
            <w:tcBorders/>
            <w:shd w:color="auto" w:fill="FFFFFF" w:val="clear"/>
          </w:tcPr>
          <w:p>
            <w:pPr>
              <w:pStyle w:val="Normal"/>
              <w:spacing w:lineRule="auto" w:line="240" w:before="0" w:after="0"/>
              <w:jc w:val="both"/>
              <w:rPr/>
            </w:pPr>
            <w:r>
              <w:rPr>
                <w:b/>
                <w:sz w:val="24"/>
                <w:szCs w:val="24"/>
              </w:rPr>
              <w:t>7.</w:t>
            </w:r>
          </w:p>
          <w:p>
            <w:pPr>
              <w:pStyle w:val="Normal"/>
              <w:spacing w:lineRule="auto" w:line="240" w:before="0" w:after="0"/>
              <w:jc w:val="both"/>
              <w:rPr/>
            </w:pPr>
            <w:r>
              <w:rPr>
                <w:sz w:val="24"/>
                <w:szCs w:val="24"/>
              </w:rPr>
              <w:t>7.1</w:t>
            </w:r>
          </w:p>
        </w:tc>
        <w:tc>
          <w:tcPr>
            <w:tcW w:w="7581" w:type="dxa"/>
            <w:tcBorders/>
            <w:shd w:color="auto" w:fill="FFFFFF" w:val="clear"/>
          </w:tcPr>
          <w:p>
            <w:pPr>
              <w:pStyle w:val="Normal"/>
              <w:spacing w:lineRule="auto" w:line="240" w:before="0" w:after="0"/>
              <w:jc w:val="both"/>
              <w:rPr>
                <w:b/>
                <w:b/>
                <w:sz w:val="24"/>
                <w:szCs w:val="24"/>
                <w:u w:val="single"/>
              </w:rPr>
            </w:pPr>
            <w:r>
              <w:rPr>
                <w:b/>
                <w:sz w:val="24"/>
                <w:szCs w:val="24"/>
                <w:u w:val="single"/>
              </w:rPr>
              <w:t>Planning and Related Matters</w:t>
            </w:r>
          </w:p>
          <w:p>
            <w:pPr>
              <w:pStyle w:val="Normal"/>
              <w:spacing w:lineRule="auto" w:line="240" w:before="0" w:after="0"/>
              <w:jc w:val="both"/>
              <w:rPr>
                <w:sz w:val="24"/>
                <w:szCs w:val="24"/>
              </w:rPr>
            </w:pPr>
            <w:r>
              <w:rPr>
                <w:sz w:val="24"/>
                <w:szCs w:val="24"/>
              </w:rPr>
              <w:t>Planning Applications received and to be determined:</w:t>
            </w:r>
          </w:p>
          <w:p>
            <w:pPr>
              <w:pStyle w:val="Normal"/>
              <w:numPr>
                <w:ilvl w:val="0"/>
                <w:numId w:val="2"/>
              </w:numPr>
              <w:spacing w:lineRule="auto" w:line="240" w:before="0" w:after="0"/>
              <w:jc w:val="both"/>
              <w:rPr/>
            </w:pPr>
            <w:r>
              <w:rPr>
                <w:sz w:val="24"/>
                <w:szCs w:val="24"/>
              </w:rPr>
              <w:t>None received</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698" w:hRule="atLeast"/>
        </w:trPr>
        <w:tc>
          <w:tcPr>
            <w:tcW w:w="916" w:type="dxa"/>
            <w:tcBorders/>
            <w:shd w:color="auto" w:fill="FFFFFF" w:val="clear"/>
          </w:tcPr>
          <w:p>
            <w:pPr>
              <w:pStyle w:val="Normal"/>
              <w:spacing w:lineRule="auto" w:line="240" w:before="0" w:after="0"/>
              <w:jc w:val="both"/>
              <w:rPr/>
            </w:pPr>
            <w:r>
              <w:rPr>
                <w:sz w:val="24"/>
                <w:szCs w:val="24"/>
              </w:rPr>
              <w:t>7.2</w:t>
            </w:r>
          </w:p>
          <w:p>
            <w:pPr>
              <w:pStyle w:val="Normal"/>
              <w:spacing w:lineRule="auto" w:line="240" w:before="0" w:after="0"/>
              <w:jc w:val="both"/>
              <w:rPr>
                <w:b/>
                <w:b/>
                <w:sz w:val="24"/>
                <w:szCs w:val="24"/>
              </w:rPr>
            </w:pPr>
            <w:r>
              <w:rPr>
                <w:b/>
                <w:sz w:val="24"/>
                <w:szCs w:val="24"/>
              </w:rPr>
            </w:r>
          </w:p>
        </w:tc>
        <w:tc>
          <w:tcPr>
            <w:tcW w:w="7581" w:type="dxa"/>
            <w:tcBorders/>
            <w:shd w:color="auto" w:fill="FFFFFF" w:val="clear"/>
          </w:tcPr>
          <w:p>
            <w:pPr>
              <w:pStyle w:val="Normal"/>
              <w:spacing w:lineRule="auto" w:line="240" w:before="0" w:after="0"/>
              <w:jc w:val="both"/>
              <w:rPr>
                <w:sz w:val="24"/>
                <w:szCs w:val="24"/>
              </w:rPr>
            </w:pPr>
            <w:r>
              <w:rPr>
                <w:sz w:val="24"/>
                <w:szCs w:val="24"/>
              </w:rPr>
              <w:t>Planning decision notifications received:</w:t>
            </w:r>
          </w:p>
          <w:p>
            <w:pPr>
              <w:pStyle w:val="Normal"/>
              <w:numPr>
                <w:ilvl w:val="0"/>
                <w:numId w:val="3"/>
              </w:numPr>
              <w:spacing w:lineRule="auto" w:line="240" w:before="0" w:after="0"/>
              <w:jc w:val="both"/>
              <w:rPr/>
            </w:pPr>
            <w:r>
              <w:rPr>
                <w:b w:val="false"/>
                <w:bCs w:val="false"/>
                <w:sz w:val="24"/>
                <w:szCs w:val="24"/>
              </w:rPr>
              <w:t>None received</w:t>
            </w:r>
          </w:p>
          <w:p>
            <w:pPr>
              <w:pStyle w:val="Normal"/>
              <w:spacing w:lineRule="auto" w:line="240" w:before="0" w:after="0"/>
              <w:jc w:val="both"/>
              <w:rPr>
                <w:b w:val="false"/>
                <w:b w:val="false"/>
                <w:bCs w:val="false"/>
                <w:sz w:val="24"/>
                <w:szCs w:val="24"/>
              </w:rPr>
            </w:pPr>
            <w:r>
              <w:rPr>
                <w:b w:val="false"/>
                <w:bCs w:val="false"/>
                <w:sz w:val="24"/>
                <w:szCs w:val="24"/>
              </w:rPr>
            </w:r>
          </w:p>
          <w:p>
            <w:pPr>
              <w:pStyle w:val="Normal"/>
              <w:spacing w:lineRule="auto" w:line="240" w:before="0" w:after="0"/>
              <w:jc w:val="both"/>
              <w:rPr>
                <w:sz w:val="24"/>
                <w:szCs w:val="24"/>
              </w:rPr>
            </w:pPr>
            <w:r>
              <w:rPr>
                <w:sz w:val="24"/>
                <w:szCs w:val="24"/>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413" w:hRule="atLeast"/>
        </w:trPr>
        <w:tc>
          <w:tcPr>
            <w:tcW w:w="916" w:type="dxa"/>
            <w:tcBorders/>
            <w:shd w:color="auto" w:fill="FFFFFF" w:val="clear"/>
          </w:tcPr>
          <w:p>
            <w:pPr>
              <w:pStyle w:val="Normal"/>
              <w:spacing w:lineRule="auto" w:line="240" w:before="0" w:after="0"/>
              <w:jc w:val="both"/>
              <w:rPr/>
            </w:pPr>
            <w:r>
              <w:rPr>
                <w:b/>
                <w:sz w:val="24"/>
                <w:szCs w:val="24"/>
              </w:rPr>
              <w:t>8.</w:t>
            </w:r>
          </w:p>
          <w:p>
            <w:pPr>
              <w:pStyle w:val="Normal"/>
              <w:spacing w:lineRule="auto" w:line="240" w:before="0" w:after="0"/>
              <w:jc w:val="both"/>
              <w:rPr/>
            </w:pPr>
            <w:r>
              <w:rPr>
                <w:sz w:val="24"/>
                <w:szCs w:val="24"/>
              </w:rPr>
              <w:t>8.1</w:t>
            </w:r>
          </w:p>
        </w:tc>
        <w:tc>
          <w:tcPr>
            <w:tcW w:w="7581" w:type="dxa"/>
            <w:tcBorders/>
            <w:shd w:color="auto" w:fill="FFFFFF" w:val="clear"/>
          </w:tcPr>
          <w:p>
            <w:pPr>
              <w:pStyle w:val="Normal"/>
              <w:spacing w:lineRule="auto" w:line="240" w:before="0" w:after="0"/>
              <w:jc w:val="both"/>
              <w:rPr/>
            </w:pPr>
            <w:r>
              <w:rPr>
                <w:b/>
                <w:sz w:val="24"/>
                <w:szCs w:val="24"/>
                <w:u w:val="single"/>
              </w:rPr>
              <w:t>PC Administration</w:t>
            </w:r>
          </w:p>
          <w:p>
            <w:pPr>
              <w:pStyle w:val="Normal"/>
              <w:spacing w:lineRule="auto" w:line="240" w:before="0" w:after="0"/>
              <w:jc w:val="both"/>
              <w:rPr/>
            </w:pPr>
            <w:r>
              <w:rPr>
                <w:b w:val="false"/>
                <w:bCs w:val="false"/>
                <w:sz w:val="24"/>
                <w:szCs w:val="24"/>
                <w:u w:val="single"/>
              </w:rPr>
              <w:t>(</w:t>
            </w:r>
            <w:r>
              <w:rPr>
                <w:b/>
                <w:sz w:val="24"/>
                <w:szCs w:val="24"/>
                <w:u w:val="single"/>
              </w:rPr>
              <w:t xml:space="preserve"> </w:t>
            </w:r>
            <w:r>
              <w:rPr>
                <w:sz w:val="24"/>
                <w:szCs w:val="24"/>
                <w:u w:val="single"/>
              </w:rPr>
              <w:t>A ) Annual Governance Statement</w:t>
            </w:r>
          </w:p>
          <w:p>
            <w:pPr>
              <w:pStyle w:val="Normal"/>
              <w:spacing w:lineRule="auto" w:line="240" w:before="0" w:after="0"/>
              <w:jc w:val="both"/>
              <w:rPr/>
            </w:pPr>
            <w:r>
              <w:rPr>
                <w:sz w:val="24"/>
                <w:szCs w:val="24"/>
                <w:u w:val="none"/>
              </w:rPr>
              <w:t>Cllrs reviewed the Annual Governance Statement in the Audit Document and satisfied themselves that the procedures and practices of the Parish Council provided adequate controls to meet the standards required. All Cllrs present without abstention agreed that the Clerk and Chairman should sign the Audit Document to confirm that the Annual Governance Statement had been met.</w:t>
            </w:r>
          </w:p>
          <w:p>
            <w:pPr>
              <w:pStyle w:val="Normal"/>
              <w:spacing w:lineRule="auto" w:line="240" w:before="0" w:after="0"/>
              <w:jc w:val="both"/>
              <w:rPr>
                <w:u w:val="single"/>
              </w:rPr>
            </w:pPr>
            <w:r>
              <w:rPr>
                <w:sz w:val="24"/>
                <w:szCs w:val="24"/>
                <w:u w:val="single"/>
              </w:rPr>
              <w:t>( B ) Annual Accounts</w:t>
            </w:r>
          </w:p>
          <w:p>
            <w:pPr>
              <w:pStyle w:val="Normal"/>
              <w:spacing w:lineRule="auto" w:line="240" w:before="0" w:after="0"/>
              <w:jc w:val="both"/>
              <w:rPr>
                <w:sz w:val="24"/>
                <w:szCs w:val="24"/>
                <w:u w:val="none"/>
              </w:rPr>
            </w:pPr>
            <w:r>
              <w:rPr>
                <w:sz w:val="24"/>
                <w:szCs w:val="24"/>
                <w:u w:val="none"/>
              </w:rPr>
              <w:t>All Cllrs present without abstention agreed to adopt the Annual Accounts as circulated and asked the Clerk and Chairman to sign the Audit Document to approve and adopt them.</w:t>
            </w:r>
          </w:p>
          <w:p>
            <w:pPr>
              <w:pStyle w:val="Normal"/>
              <w:spacing w:lineRule="auto" w:line="240" w:before="0" w:after="0"/>
              <w:jc w:val="both"/>
              <w:rPr>
                <w:b w:val="false"/>
                <w:b w:val="false"/>
                <w:bCs w:val="false"/>
                <w:sz w:val="24"/>
                <w:szCs w:val="24"/>
                <w:u w:val="none"/>
              </w:rPr>
            </w:pPr>
            <w:r>
              <w:rPr>
                <w:b w:val="false"/>
                <w:bCs w:val="false"/>
                <w:sz w:val="24"/>
                <w:szCs w:val="24"/>
                <w:u w:val="none"/>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1333" w:hRule="atLeast"/>
        </w:trPr>
        <w:tc>
          <w:tcPr>
            <w:tcW w:w="916" w:type="dxa"/>
            <w:tcBorders/>
            <w:shd w:color="auto" w:fill="FFFFFF" w:val="clear"/>
          </w:tcPr>
          <w:p>
            <w:pPr>
              <w:pStyle w:val="Normal"/>
              <w:spacing w:lineRule="auto" w:line="240" w:before="0" w:after="0"/>
              <w:jc w:val="both"/>
              <w:rPr>
                <w:b w:val="false"/>
                <w:b w:val="false"/>
                <w:bCs w:val="false"/>
              </w:rPr>
            </w:pPr>
            <w:r>
              <w:rPr>
                <w:b w:val="false"/>
                <w:bCs w:val="false"/>
              </w:rPr>
              <w:t>8.2</w:t>
            </w:r>
          </w:p>
        </w:tc>
        <w:tc>
          <w:tcPr>
            <w:tcW w:w="7581" w:type="dxa"/>
            <w:tcBorders/>
            <w:shd w:color="auto" w:fill="FFFFFF" w:val="clear"/>
          </w:tcPr>
          <w:p>
            <w:pPr>
              <w:pStyle w:val="TextBody"/>
              <w:spacing w:before="0" w:after="140"/>
              <w:rPr/>
            </w:pPr>
            <w:r>
              <w:rPr>
                <w:u w:val="single"/>
              </w:rPr>
              <w:t xml:space="preserve">Adoption of Updated Financial Risk Assessment </w:t>
            </w:r>
            <w:r>
              <w:rPr>
                <w:b/>
                <w:bCs/>
                <w:u w:val="single"/>
              </w:rPr>
              <w:t>(FRA)</w:t>
              <w:br/>
            </w:r>
            <w:r>
              <w:rPr>
                <w:u w:val="none"/>
              </w:rPr>
              <w:t xml:space="preserve">The Updated FRA had been circulated. </w:t>
              <w:br/>
              <w:t>All Cllrs present without abstention agreed to adopt the document without amendment.</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803" w:hRule="atLeast"/>
        </w:trPr>
        <w:tc>
          <w:tcPr>
            <w:tcW w:w="916" w:type="dxa"/>
            <w:tcBorders/>
            <w:shd w:color="auto" w:fill="FFFFFF" w:val="clear"/>
          </w:tcPr>
          <w:p>
            <w:pPr>
              <w:pStyle w:val="Normal"/>
              <w:spacing w:lineRule="auto" w:line="240" w:before="0" w:after="0"/>
              <w:jc w:val="both"/>
              <w:rPr/>
            </w:pPr>
            <w:r>
              <w:rPr/>
              <w:t>8.3</w:t>
            </w:r>
          </w:p>
        </w:tc>
        <w:tc>
          <w:tcPr>
            <w:tcW w:w="7581" w:type="dxa"/>
            <w:tcBorders/>
            <w:shd w:color="auto" w:fill="FFFFFF" w:val="clear"/>
          </w:tcPr>
          <w:p>
            <w:pPr>
              <w:pStyle w:val="Normal"/>
              <w:spacing w:lineRule="auto" w:line="240" w:before="0" w:after="0"/>
              <w:jc w:val="both"/>
              <w:rPr>
                <w:u w:val="single"/>
              </w:rPr>
            </w:pPr>
            <w:r>
              <w:rPr>
                <w:u w:val="single"/>
              </w:rPr>
              <w:t>Adoption of Asset Risk Assessments</w:t>
            </w:r>
          </w:p>
          <w:p>
            <w:pPr>
              <w:pStyle w:val="Normal"/>
              <w:spacing w:lineRule="auto" w:line="240" w:before="0" w:after="0"/>
              <w:jc w:val="both"/>
              <w:rPr>
                <w:u w:val="single"/>
              </w:rPr>
            </w:pPr>
            <w:r>
              <w:rPr>
                <w:u w:val="none"/>
              </w:rPr>
              <w:t>The Updated Asset Risk Assessments had been circulated. All Cllrs present without abstention agreed to adopt the document without amendment.</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803" w:hRule="atLeast"/>
        </w:trPr>
        <w:tc>
          <w:tcPr>
            <w:tcW w:w="916" w:type="dxa"/>
            <w:tcBorders/>
            <w:shd w:color="auto" w:fill="FFFFFF" w:val="clear"/>
          </w:tcPr>
          <w:p>
            <w:pPr>
              <w:pStyle w:val="Normal"/>
              <w:spacing w:lineRule="auto" w:line="240" w:before="0" w:after="0"/>
              <w:jc w:val="both"/>
              <w:rPr/>
            </w:pPr>
            <w:r>
              <w:rPr/>
              <w:t>8.4</w:t>
            </w:r>
          </w:p>
        </w:tc>
        <w:tc>
          <w:tcPr>
            <w:tcW w:w="7581" w:type="dxa"/>
            <w:tcBorders/>
            <w:shd w:color="auto" w:fill="FFFFFF" w:val="clear"/>
          </w:tcPr>
          <w:p>
            <w:pPr>
              <w:pStyle w:val="Normal"/>
              <w:spacing w:lineRule="auto" w:line="240" w:before="0" w:after="0"/>
              <w:jc w:val="both"/>
              <w:rPr>
                <w:u w:val="single"/>
              </w:rPr>
            </w:pPr>
            <w:r>
              <w:rPr>
                <w:u w:val="single"/>
              </w:rPr>
              <w:t>Adoption of Updated Asset Register</w:t>
            </w:r>
          </w:p>
          <w:p>
            <w:pPr>
              <w:pStyle w:val="Normal"/>
              <w:spacing w:lineRule="auto" w:line="240" w:before="0" w:after="0"/>
              <w:jc w:val="both"/>
              <w:rPr>
                <w:u w:val="none"/>
              </w:rPr>
            </w:pPr>
            <w:r>
              <w:rPr>
                <w:u w:val="none"/>
              </w:rPr>
              <w:t>The Updated Asset Register had been circulated.  All Cllrs present without abstention agreed to adopt the document without amendment.</w:t>
            </w:r>
          </w:p>
          <w:p>
            <w:pPr>
              <w:pStyle w:val="Normal"/>
              <w:spacing w:lineRule="auto" w:line="240" w:before="0" w:after="0"/>
              <w:jc w:val="both"/>
              <w:rPr>
                <w:u w:val="none"/>
              </w:rPr>
            </w:pPr>
            <w:r>
              <w:rPr>
                <w:u w:val="none"/>
              </w:rPr>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803" w:hRule="atLeast"/>
        </w:trPr>
        <w:tc>
          <w:tcPr>
            <w:tcW w:w="916" w:type="dxa"/>
            <w:tcBorders/>
            <w:shd w:color="auto" w:fill="FFFFFF" w:val="clear"/>
          </w:tcPr>
          <w:p>
            <w:pPr>
              <w:pStyle w:val="Normal"/>
              <w:spacing w:lineRule="auto" w:line="240" w:before="0" w:after="0"/>
              <w:jc w:val="both"/>
              <w:rPr/>
            </w:pPr>
            <w:r>
              <w:rPr>
                <w:b/>
                <w:sz w:val="24"/>
                <w:szCs w:val="24"/>
              </w:rPr>
              <w:t>9.</w:t>
            </w:r>
          </w:p>
        </w:tc>
        <w:tc>
          <w:tcPr>
            <w:tcW w:w="7581" w:type="dxa"/>
            <w:tcBorders/>
            <w:shd w:color="auto" w:fill="FFFFFF" w:val="clear"/>
          </w:tcPr>
          <w:p>
            <w:pPr>
              <w:pStyle w:val="Normal"/>
              <w:spacing w:lineRule="auto" w:line="240" w:before="0" w:after="0"/>
              <w:jc w:val="both"/>
              <w:rPr/>
            </w:pPr>
            <w:r>
              <w:rPr>
                <w:sz w:val="24"/>
                <w:szCs w:val="24"/>
                <w:u w:val="single"/>
              </w:rPr>
              <w:t>Councillors’ Business Items for the next meeting</w:t>
            </w:r>
          </w:p>
          <w:p>
            <w:pPr>
              <w:pStyle w:val="Normal"/>
              <w:spacing w:lineRule="auto" w:line="240" w:before="0" w:after="0"/>
              <w:jc w:val="both"/>
              <w:rPr/>
            </w:pPr>
            <w:r>
              <w:rPr>
                <w:sz w:val="24"/>
                <w:szCs w:val="24"/>
              </w:rPr>
              <w:t>Next meeting AGM for election of Officers</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r>
        <w:trPr>
          <w:trHeight w:val="742" w:hRule="atLeast"/>
        </w:trPr>
        <w:tc>
          <w:tcPr>
            <w:tcW w:w="916"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581" w:type="dxa"/>
            <w:tcBorders/>
            <w:shd w:color="auto" w:fill="FFFFFF" w:val="clear"/>
          </w:tcPr>
          <w:p>
            <w:pPr>
              <w:pStyle w:val="Normal"/>
              <w:spacing w:lineRule="auto" w:line="240" w:before="0" w:after="0"/>
              <w:jc w:val="both"/>
              <w:rPr/>
            </w:pPr>
            <w:r>
              <w:rPr>
                <w:b/>
                <w:sz w:val="24"/>
                <w:szCs w:val="24"/>
                <w:u w:val="single"/>
              </w:rPr>
              <w:t>Date for Next Meetings</w:t>
            </w:r>
          </w:p>
          <w:p>
            <w:pPr>
              <w:pStyle w:val="Normal"/>
              <w:spacing w:lineRule="auto" w:line="240" w:before="0" w:after="0"/>
              <w:jc w:val="both"/>
              <w:rPr/>
            </w:pPr>
            <w:r>
              <w:rPr>
                <w:sz w:val="24"/>
                <w:szCs w:val="24"/>
              </w:rPr>
              <w:t>Wednesday 18 May 2017</w:t>
            </w:r>
          </w:p>
        </w:tc>
        <w:tc>
          <w:tcPr>
            <w:tcW w:w="825"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spacing w:before="0" w:after="0"/>
        <w:jc w:val="both"/>
        <w:rPr>
          <w:rStyle w:val="InternetLink"/>
          <w:sz w:val="24"/>
          <w:szCs w:val="24"/>
        </w:rPr>
      </w:pPr>
      <w:r>
        <w:rPr>
          <w:sz w:val="24"/>
          <w:szCs w:val="24"/>
        </w:rPr>
      </w:r>
    </w:p>
    <w:p>
      <w:pPr>
        <w:pStyle w:val="Normal"/>
        <w:spacing w:before="0" w:after="200"/>
        <w:jc w:val="both"/>
        <w:rPr/>
      </w:pPr>
      <w:r>
        <w:rPr>
          <w:b/>
          <w:sz w:val="28"/>
          <w:szCs w:val="28"/>
        </w:rPr>
        <w:t xml:space="preserve">Parish Website: </w:t>
      </w:r>
      <w:hyperlink r:id="rId2">
        <w:r>
          <w:rPr>
            <w:rStyle w:val="InternetLink"/>
            <w:b/>
            <w:sz w:val="28"/>
            <w:szCs w:val="28"/>
          </w:rPr>
          <w:t>www.wighill-pc.org.uk</w:t>
        </w:r>
      </w:hyperlink>
      <w:r>
        <w:rPr>
          <w:b/>
          <w:sz w:val="28"/>
          <w:szCs w:val="28"/>
        </w:rPr>
        <w:t xml:space="preserve"> </w:t>
      </w:r>
    </w:p>
    <w:sectPr>
      <w:headerReference w:type="default" r:id="rId3"/>
      <w:footerReference w:type="default" r:id="rId4"/>
      <w:type w:val="nextPage"/>
      <w:pgSz w:w="11906" w:h="16838"/>
      <w:pgMar w:left="1440" w:right="1440" w:header="851" w:top="1403"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t xml:space="preserve">Chairman: (Mr) Jim Hyde Tel: 07711734487 Email: </w:t>
    </w:r>
    <w:hyperlink r:id="rId2">
      <w:r>
        <w:rPr>
          <w:rStyle w:val="InternetLink"/>
        </w:rPr>
        <w:t>jim.hyde@proximity.co.uk</w:t>
      </w:r>
    </w:hyperlink>
    <w:r>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Wingdings" w:hAnsi="Wingdings" w:cs="Wingdings" w:hint="default"/>
        <w:rFonts w:cs="Wingdings"/>
      </w:rPr>
    </w:lvl>
    <w:lvl w:ilvl="1">
      <w:start w:val="1"/>
      <w:numFmt w:val="bullet"/>
      <w:lvlText w:val=""/>
      <w:lvlJc w:val="left"/>
      <w:pPr>
        <w:tabs>
          <w:tab w:val="num" w:pos="1080"/>
        </w:tabs>
        <w:ind w:left="1080" w:hanging="360"/>
      </w:pPr>
      <w:rPr>
        <w:rFonts w:ascii="Wingdings" w:hAnsi="Wingdings" w:cs="Wingdings" w:hint="default"/>
        <w:rFonts w:cs="Wingdings"/>
      </w:rPr>
    </w:lvl>
    <w:lvl w:ilvl="2">
      <w:start w:val="1"/>
      <w:numFmt w:val="bullet"/>
      <w:lvlText w:val=""/>
      <w:lvlJc w:val="left"/>
      <w:pPr>
        <w:tabs>
          <w:tab w:val="num" w:pos="1440"/>
        </w:tabs>
        <w:ind w:left="1440" w:hanging="360"/>
      </w:pPr>
      <w:rPr>
        <w:rFonts w:ascii="Wingdings" w:hAnsi="Wingdings" w:cs="Wingdings" w:hint="default"/>
        <w:rFonts w:cs="Wingdings"/>
      </w:rPr>
    </w:lvl>
    <w:lvl w:ilvl="3">
      <w:start w:val="1"/>
      <w:numFmt w:val="bullet"/>
      <w:lvlText w:val=""/>
      <w:lvlJc w:val="left"/>
      <w:pPr>
        <w:tabs>
          <w:tab w:val="num" w:pos="1800"/>
        </w:tabs>
        <w:ind w:left="1800" w:hanging="360"/>
      </w:pPr>
      <w:rPr>
        <w:rFonts w:ascii="Wingdings" w:hAnsi="Wingdings" w:cs="Wingdings" w:hint="default"/>
        <w:rFonts w:cs="Wingdings"/>
      </w:rPr>
    </w:lvl>
    <w:lvl w:ilvl="4">
      <w:start w:val="1"/>
      <w:numFmt w:val="bullet"/>
      <w:lvlText w:val=""/>
      <w:lvlJc w:val="left"/>
      <w:pPr>
        <w:tabs>
          <w:tab w:val="num" w:pos="2160"/>
        </w:tabs>
        <w:ind w:left="2160" w:hanging="360"/>
      </w:pPr>
      <w:rPr>
        <w:rFonts w:ascii="Wingdings" w:hAnsi="Wingdings" w:cs="Wingdings" w:hint="default"/>
        <w:rFonts w:cs="Wingdings"/>
      </w:rPr>
    </w:lvl>
    <w:lvl w:ilvl="5">
      <w:start w:val="1"/>
      <w:numFmt w:val="bullet"/>
      <w:lvlText w:val=""/>
      <w:lvlJc w:val="left"/>
      <w:pPr>
        <w:tabs>
          <w:tab w:val="num" w:pos="2520"/>
        </w:tabs>
        <w:ind w:left="2520" w:hanging="360"/>
      </w:pPr>
      <w:rPr>
        <w:rFonts w:ascii="Wingdings" w:hAnsi="Wingdings" w:cs="Wingdings" w:hint="default"/>
        <w:rFonts w:cs="Wingdings"/>
      </w:rPr>
    </w:lvl>
    <w:lvl w:ilvl="6">
      <w:start w:val="1"/>
      <w:numFmt w:val="bullet"/>
      <w:lvlText w:val=""/>
      <w:lvlJc w:val="left"/>
      <w:pPr>
        <w:tabs>
          <w:tab w:val="num" w:pos="2880"/>
        </w:tabs>
        <w:ind w:left="2880" w:hanging="360"/>
      </w:pPr>
      <w:rPr>
        <w:rFonts w:ascii="Wingdings" w:hAnsi="Wingdings" w:cs="Wingdings" w:hint="default"/>
        <w:rFonts w:cs="Wingdings"/>
      </w:rPr>
    </w:lvl>
    <w:lvl w:ilvl="7">
      <w:start w:val="1"/>
      <w:numFmt w:val="bullet"/>
      <w:lvlText w:val=""/>
      <w:lvlJc w:val="left"/>
      <w:pPr>
        <w:tabs>
          <w:tab w:val="num" w:pos="3240"/>
        </w:tabs>
        <w:ind w:left="3240" w:hanging="360"/>
      </w:pPr>
      <w:rPr>
        <w:rFonts w:ascii="Wingdings" w:hAnsi="Wingdings" w:cs="Wingdings" w:hint="default"/>
        <w:rFonts w:cs="Wingdings"/>
      </w:rPr>
    </w:lvl>
    <w:lvl w:ilvl="8">
      <w:start w:val="1"/>
      <w:numFmt w:val="bullet"/>
      <w:lvlText w:val=""/>
      <w:lvlJc w:val="left"/>
      <w:pPr>
        <w:tabs>
          <w:tab w:val="num" w:pos="3600"/>
        </w:tabs>
        <w:ind w:left="3600" w:hanging="360"/>
      </w:pPr>
      <w:rPr>
        <w:rFonts w:ascii="Wingdings" w:hAnsi="Wingdings" w:cs="Wingdings" w:hint="default"/>
        <w:rFonts w:cs="Wingdings"/>
      </w:rPr>
    </w:lvl>
  </w:abstractNum>
  <w:abstractNum w:abstractNumId="2">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character" w:styleId="ListLabel118">
    <w:name w:val="ListLabel 118"/>
    <w:qFormat/>
    <w:rPr>
      <w:rFonts w:cs="Symbol"/>
      <w:sz w:val="24"/>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Wingdings"/>
    </w:rPr>
  </w:style>
  <w:style w:type="character" w:styleId="ListLabel128">
    <w:name w:val="ListLabel 128"/>
    <w:qFormat/>
    <w:rPr>
      <w:rFonts w:cs="Wingdings"/>
    </w:rPr>
  </w:style>
  <w:style w:type="character" w:styleId="ListLabel129">
    <w:name w:val="ListLabel 129"/>
    <w:qFormat/>
    <w:rPr>
      <w:rFonts w:cs="Wingdings"/>
    </w:rPr>
  </w:style>
  <w:style w:type="character" w:styleId="ListLabel130">
    <w:name w:val="ListLabel 130"/>
    <w:qFormat/>
    <w:rPr>
      <w:rFonts w:cs="Wingdings"/>
    </w:rPr>
  </w:style>
  <w:style w:type="character" w:styleId="ListLabel131">
    <w:name w:val="ListLabel 131"/>
    <w:qFormat/>
    <w:rPr>
      <w:rFonts w:cs="Wingdings"/>
    </w:rPr>
  </w:style>
  <w:style w:type="character" w:styleId="ListLabel132">
    <w:name w:val="ListLabel 132"/>
    <w:qFormat/>
    <w:rPr>
      <w:rFonts w:cs="Wingdings"/>
    </w:rPr>
  </w:style>
  <w:style w:type="character" w:styleId="ListLabel133">
    <w:name w:val="ListLabel 133"/>
    <w:qFormat/>
    <w:rPr>
      <w:rFonts w:cs="Wingdings"/>
    </w:rPr>
  </w:style>
  <w:style w:type="character" w:styleId="ListLabel134">
    <w:name w:val="ListLabel 134"/>
    <w:qFormat/>
    <w:rPr>
      <w:rFonts w:cs="Wingdings"/>
    </w:rPr>
  </w:style>
  <w:style w:type="character" w:styleId="ListLabel135">
    <w:name w:val="ListLabel 135"/>
    <w:qFormat/>
    <w:rPr>
      <w:rFonts w:cs="Wingdings"/>
    </w:rPr>
  </w:style>
  <w:style w:type="character" w:styleId="ListLabel136">
    <w:name w:val="ListLabel 136"/>
    <w:qFormat/>
    <w:rPr>
      <w:rFonts w:cs="OpenSymbol"/>
      <w:sz w:val="24"/>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ListLabel145">
    <w:name w:val="ListLabel 145"/>
    <w:qFormat/>
    <w:rPr>
      <w:rFonts w:cs="OpenSymbol"/>
      <w:sz w:val="24"/>
    </w:rPr>
  </w:style>
  <w:style w:type="character" w:styleId="ListLabel146">
    <w:name w:val="ListLabel 146"/>
    <w:qFormat/>
    <w:rPr>
      <w:rFonts w:cs="OpenSymbol"/>
    </w:rPr>
  </w:style>
  <w:style w:type="character" w:styleId="ListLabel147">
    <w:name w:val="ListLabel 147"/>
    <w:qFormat/>
    <w:rPr>
      <w:rFonts w:cs="OpenSymbol"/>
    </w:rPr>
  </w:style>
  <w:style w:type="character" w:styleId="ListLabel148">
    <w:name w:val="ListLabel 148"/>
    <w:qFormat/>
    <w:rPr>
      <w:rFonts w:cs="OpenSymbol"/>
    </w:rPr>
  </w:style>
  <w:style w:type="character" w:styleId="ListLabel149">
    <w:name w:val="ListLabel 149"/>
    <w:qFormat/>
    <w:rPr>
      <w:rFonts w:cs="OpenSymbol"/>
    </w:rPr>
  </w:style>
  <w:style w:type="character" w:styleId="ListLabel150">
    <w:name w:val="ListLabel 150"/>
    <w:qFormat/>
    <w:rPr>
      <w:rFonts w:cs="OpenSymbol"/>
    </w:rPr>
  </w:style>
  <w:style w:type="character" w:styleId="ListLabel151">
    <w:name w:val="ListLabel 151"/>
    <w:qFormat/>
    <w:rPr>
      <w:rFonts w:cs="OpenSymbol"/>
    </w:rPr>
  </w:style>
  <w:style w:type="character" w:styleId="ListLabel152">
    <w:name w:val="ListLabel 152"/>
    <w:qFormat/>
    <w:rPr>
      <w:rFonts w:cs="OpenSymbol"/>
    </w:rPr>
  </w:style>
  <w:style w:type="character" w:styleId="ListLabel153">
    <w:name w:val="ListLabel 153"/>
    <w:qFormat/>
    <w:rPr>
      <w:rFonts w:cs="OpenSymbol"/>
    </w:rPr>
  </w:style>
  <w:style w:type="character" w:styleId="ListLabel154">
    <w:name w:val="ListLabel 154"/>
    <w:qFormat/>
    <w:rPr>
      <w:rFonts w:cs="Symbol"/>
      <w:sz w:val="24"/>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Wingdings"/>
    </w:rPr>
  </w:style>
  <w:style w:type="character" w:styleId="ListLabel164">
    <w:name w:val="ListLabel 164"/>
    <w:qFormat/>
    <w:rPr>
      <w:rFonts w:cs="Wingdings"/>
    </w:rPr>
  </w:style>
  <w:style w:type="character" w:styleId="ListLabel165">
    <w:name w:val="ListLabel 165"/>
    <w:qFormat/>
    <w:rPr>
      <w:rFonts w:cs="Wingdings"/>
    </w:rPr>
  </w:style>
  <w:style w:type="character" w:styleId="ListLabel166">
    <w:name w:val="ListLabel 166"/>
    <w:qFormat/>
    <w:rPr>
      <w:rFonts w:cs="Wingdings"/>
    </w:rPr>
  </w:style>
  <w:style w:type="character" w:styleId="ListLabel167">
    <w:name w:val="ListLabel 167"/>
    <w:qFormat/>
    <w:rPr>
      <w:rFonts w:cs="Wingdings"/>
    </w:rPr>
  </w:style>
  <w:style w:type="character" w:styleId="ListLabel168">
    <w:name w:val="ListLabel 168"/>
    <w:qFormat/>
    <w:rPr>
      <w:rFonts w:cs="Wingdings"/>
    </w:rPr>
  </w:style>
  <w:style w:type="character" w:styleId="ListLabel169">
    <w:name w:val="ListLabel 169"/>
    <w:qFormat/>
    <w:rPr>
      <w:rFonts w:cs="Wingdings"/>
    </w:rPr>
  </w:style>
  <w:style w:type="character" w:styleId="ListLabel170">
    <w:name w:val="ListLabel 170"/>
    <w:qFormat/>
    <w:rPr>
      <w:rFonts w:cs="Wingdings"/>
    </w:rPr>
  </w:style>
  <w:style w:type="character" w:styleId="ListLabel171">
    <w:name w:val="ListLabel 171"/>
    <w:qFormat/>
    <w:rPr>
      <w:rFonts w:cs="Wingdings"/>
    </w:rPr>
  </w:style>
  <w:style w:type="character" w:styleId="ListLabel172">
    <w:name w:val="ListLabel 172"/>
    <w:qFormat/>
    <w:rPr>
      <w:rFonts w:cs="OpenSymbol"/>
      <w:sz w:val="24"/>
    </w:rPr>
  </w:style>
  <w:style w:type="character" w:styleId="ListLabel173">
    <w:name w:val="ListLabel 173"/>
    <w:qFormat/>
    <w:rPr>
      <w:rFonts w:cs="OpenSymbol"/>
    </w:rPr>
  </w:style>
  <w:style w:type="character" w:styleId="ListLabel174">
    <w:name w:val="ListLabel 174"/>
    <w:qFormat/>
    <w:rPr>
      <w:rFonts w:cs="OpenSymbol"/>
    </w:rPr>
  </w:style>
  <w:style w:type="character" w:styleId="ListLabel175">
    <w:name w:val="ListLabel 175"/>
    <w:qFormat/>
    <w:rPr>
      <w:rFonts w:cs="OpenSymbol"/>
    </w:rPr>
  </w:style>
  <w:style w:type="character" w:styleId="ListLabel176">
    <w:name w:val="ListLabel 176"/>
    <w:qFormat/>
    <w:rPr>
      <w:rFonts w:cs="OpenSymbol"/>
    </w:rPr>
  </w:style>
  <w:style w:type="character" w:styleId="ListLabel177">
    <w:name w:val="ListLabel 177"/>
    <w:qFormat/>
    <w:rPr>
      <w:rFonts w:cs="OpenSymbol"/>
    </w:rPr>
  </w:style>
  <w:style w:type="character" w:styleId="ListLabel178">
    <w:name w:val="ListLabel 178"/>
    <w:qFormat/>
    <w:rPr>
      <w:rFonts w:cs="OpenSymbol"/>
    </w:rPr>
  </w:style>
  <w:style w:type="character" w:styleId="ListLabel179">
    <w:name w:val="ListLabel 179"/>
    <w:qFormat/>
    <w:rPr>
      <w:rFonts w:cs="OpenSymbol"/>
    </w:rPr>
  </w:style>
  <w:style w:type="character" w:styleId="ListLabel180">
    <w:name w:val="ListLabel 180"/>
    <w:qFormat/>
    <w:rPr>
      <w:rFonts w:cs="OpenSymbol"/>
    </w:rPr>
  </w:style>
  <w:style w:type="character" w:styleId="ListLabel181">
    <w:name w:val="ListLabel 181"/>
    <w:qFormat/>
    <w:rPr>
      <w:rFonts w:cs="OpenSymbol"/>
      <w:sz w:val="24"/>
    </w:rPr>
  </w:style>
  <w:style w:type="character" w:styleId="ListLabel182">
    <w:name w:val="ListLabel 182"/>
    <w:qFormat/>
    <w:rPr>
      <w:rFonts w:cs="OpenSymbol"/>
    </w:rPr>
  </w:style>
  <w:style w:type="character" w:styleId="ListLabel183">
    <w:name w:val="ListLabel 183"/>
    <w:qFormat/>
    <w:rPr>
      <w:rFonts w:cs="OpenSymbol"/>
    </w:rPr>
  </w:style>
  <w:style w:type="character" w:styleId="ListLabel184">
    <w:name w:val="ListLabel 184"/>
    <w:qFormat/>
    <w:rPr>
      <w:rFonts w:cs="OpenSymbol"/>
    </w:rPr>
  </w:style>
  <w:style w:type="character" w:styleId="ListLabel185">
    <w:name w:val="ListLabel 185"/>
    <w:qFormat/>
    <w:rPr>
      <w:rFonts w:cs="OpenSymbol"/>
    </w:rPr>
  </w:style>
  <w:style w:type="character" w:styleId="ListLabel186">
    <w:name w:val="ListLabel 186"/>
    <w:qFormat/>
    <w:rPr>
      <w:rFonts w:cs="OpenSymbol"/>
    </w:rPr>
  </w:style>
  <w:style w:type="character" w:styleId="ListLabel187">
    <w:name w:val="ListLabel 187"/>
    <w:qFormat/>
    <w:rPr>
      <w:rFonts w:cs="OpenSymbol"/>
    </w:rPr>
  </w:style>
  <w:style w:type="character" w:styleId="ListLabel188">
    <w:name w:val="ListLabel 188"/>
    <w:qFormat/>
    <w:rPr>
      <w:rFonts w:cs="OpenSymbol"/>
    </w:rPr>
  </w:style>
  <w:style w:type="character" w:styleId="ListLabel189">
    <w:name w:val="ListLabel 189"/>
    <w:qFormat/>
    <w:rPr>
      <w:rFonts w:cs="OpenSymbol"/>
    </w:rPr>
  </w:style>
  <w:style w:type="character" w:styleId="ListLabel190">
    <w:name w:val="ListLabel 190"/>
    <w:qFormat/>
    <w:rPr>
      <w:rFonts w:cs="Wingdings"/>
    </w:rPr>
  </w:style>
  <w:style w:type="character" w:styleId="ListLabel191">
    <w:name w:val="ListLabel 191"/>
    <w:qFormat/>
    <w:rPr>
      <w:rFonts w:cs="Wingdings"/>
    </w:rPr>
  </w:style>
  <w:style w:type="character" w:styleId="ListLabel192">
    <w:name w:val="ListLabel 192"/>
    <w:qFormat/>
    <w:rPr>
      <w:rFonts w:cs="Wingdings"/>
    </w:rPr>
  </w:style>
  <w:style w:type="character" w:styleId="ListLabel193">
    <w:name w:val="ListLabel 193"/>
    <w:qFormat/>
    <w:rPr>
      <w:rFonts w:cs="Wingdings"/>
    </w:rPr>
  </w:style>
  <w:style w:type="character" w:styleId="ListLabel194">
    <w:name w:val="ListLabel 194"/>
    <w:qFormat/>
    <w:rPr>
      <w:rFonts w:cs="Wingdings"/>
    </w:rPr>
  </w:style>
  <w:style w:type="character" w:styleId="ListLabel195">
    <w:name w:val="ListLabel 195"/>
    <w:qFormat/>
    <w:rPr>
      <w:rFonts w:cs="Wingdings"/>
    </w:rPr>
  </w:style>
  <w:style w:type="character" w:styleId="ListLabel196">
    <w:name w:val="ListLabel 196"/>
    <w:qFormat/>
    <w:rPr>
      <w:rFonts w:cs="Wingdings"/>
    </w:rPr>
  </w:style>
  <w:style w:type="character" w:styleId="ListLabel197">
    <w:name w:val="ListLabel 197"/>
    <w:qFormat/>
    <w:rPr>
      <w:rFonts w:cs="Wingdings"/>
    </w:rPr>
  </w:style>
  <w:style w:type="character" w:styleId="ListLabel198">
    <w:name w:val="ListLabel 198"/>
    <w:qFormat/>
    <w:rPr>
      <w:rFonts w:cs="Wingdings"/>
    </w:rPr>
  </w:style>
  <w:style w:type="character" w:styleId="ListLabel199">
    <w:name w:val="ListLabel 199"/>
    <w:qFormat/>
    <w:rPr>
      <w:rFonts w:cs="OpenSymbol"/>
      <w:sz w:val="24"/>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sz w:val="24"/>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character" w:styleId="ListLabel241">
    <w:name w:val="ListLabel 241"/>
    <w:qFormat/>
    <w:rPr>
      <w:rFonts w:cs="Wingdings"/>
    </w:rPr>
  </w:style>
  <w:style w:type="character" w:styleId="ListLabel242">
    <w:name w:val="ListLabel 242"/>
    <w:qFormat/>
    <w:rPr>
      <w:rFonts w:cs="Wingdings"/>
    </w:rPr>
  </w:style>
  <w:style w:type="character" w:styleId="ListLabel243">
    <w:name w:val="ListLabel 243"/>
    <w:qFormat/>
    <w:rPr>
      <w:rFonts w:cs="Wingdings"/>
    </w:rPr>
  </w:style>
  <w:style w:type="character" w:styleId="ListLabel244">
    <w:name w:val="ListLabel 244"/>
    <w:qFormat/>
    <w:rPr>
      <w:rFonts w:cs="OpenSymbol"/>
      <w:sz w:val="24"/>
    </w:rPr>
  </w:style>
  <w:style w:type="character" w:styleId="ListLabel245">
    <w:name w:val="ListLabel 245"/>
    <w:qFormat/>
    <w:rPr>
      <w:rFonts w:cs="OpenSymbol"/>
    </w:rPr>
  </w:style>
  <w:style w:type="character" w:styleId="ListLabel246">
    <w:name w:val="ListLabel 246"/>
    <w:qFormat/>
    <w:rPr>
      <w:rFonts w:cs="OpenSymbol"/>
    </w:rPr>
  </w:style>
  <w:style w:type="character" w:styleId="ListLabel247">
    <w:name w:val="ListLabel 247"/>
    <w:qFormat/>
    <w:rPr>
      <w:rFonts w:cs="OpenSymbol"/>
    </w:rPr>
  </w:style>
  <w:style w:type="character" w:styleId="ListLabel248">
    <w:name w:val="ListLabel 248"/>
    <w:qFormat/>
    <w:rPr>
      <w:rFonts w:cs="OpenSymbol"/>
    </w:rPr>
  </w:style>
  <w:style w:type="character" w:styleId="ListLabel249">
    <w:name w:val="ListLabel 249"/>
    <w:qFormat/>
    <w:rPr>
      <w:rFonts w:cs="OpenSymbol"/>
    </w:rPr>
  </w:style>
  <w:style w:type="character" w:styleId="ListLabel250">
    <w:name w:val="ListLabel 250"/>
    <w:qFormat/>
    <w:rPr>
      <w:rFonts w:cs="OpenSymbol"/>
    </w:rPr>
  </w:style>
  <w:style w:type="character" w:styleId="ListLabel251">
    <w:name w:val="ListLabel 251"/>
    <w:qFormat/>
    <w:rPr>
      <w:rFonts w:cs="OpenSymbol"/>
    </w:rPr>
  </w:style>
  <w:style w:type="character" w:styleId="ListLabel252">
    <w:name w:val="ListLabel 252"/>
    <w:qFormat/>
    <w:rPr>
      <w:rFonts w:cs="OpenSymbol"/>
    </w:rPr>
  </w:style>
  <w:style w:type="character" w:styleId="ListLabel253">
    <w:name w:val="ListLabel 253"/>
    <w:qFormat/>
    <w:rPr>
      <w:rFonts w:cs="OpenSymbol"/>
      <w:sz w:val="24"/>
    </w:rPr>
  </w:style>
  <w:style w:type="character" w:styleId="ListLabel254">
    <w:name w:val="ListLabel 254"/>
    <w:qFormat/>
    <w:rPr>
      <w:rFonts w:cs="OpenSymbol"/>
    </w:rPr>
  </w:style>
  <w:style w:type="character" w:styleId="ListLabel255">
    <w:name w:val="ListLabel 255"/>
    <w:qFormat/>
    <w:rPr>
      <w:rFonts w:cs="OpenSymbol"/>
    </w:rPr>
  </w:style>
  <w:style w:type="character" w:styleId="ListLabel256">
    <w:name w:val="ListLabel 256"/>
    <w:qFormat/>
    <w:rPr>
      <w:rFonts w:cs="OpenSymbol"/>
    </w:rPr>
  </w:style>
  <w:style w:type="character" w:styleId="ListLabel257">
    <w:name w:val="ListLabel 257"/>
    <w:qFormat/>
    <w:rPr>
      <w:rFonts w:cs="OpenSymbol"/>
    </w:rPr>
  </w:style>
  <w:style w:type="character" w:styleId="ListLabel258">
    <w:name w:val="ListLabel 258"/>
    <w:qFormat/>
    <w:rPr>
      <w:rFonts w:cs="OpenSymbol"/>
    </w:rPr>
  </w:style>
  <w:style w:type="character" w:styleId="ListLabel259">
    <w:name w:val="ListLabel 259"/>
    <w:qFormat/>
    <w:rPr>
      <w:rFonts w:cs="OpenSymbol"/>
    </w:rPr>
  </w:style>
  <w:style w:type="character" w:styleId="ListLabel260">
    <w:name w:val="ListLabel 260"/>
    <w:qFormat/>
    <w:rPr>
      <w:rFonts w:cs="OpenSymbol"/>
    </w:rPr>
  </w:style>
  <w:style w:type="character" w:styleId="ListLabel261">
    <w:name w:val="ListLabel 261"/>
    <w:qFormat/>
    <w:rPr>
      <w:rFonts w:cs="OpenSymbol"/>
    </w:rPr>
  </w:style>
  <w:style w:type="character" w:styleId="ListLabel262">
    <w:name w:val="ListLabel 262"/>
    <w:qFormat/>
    <w:rPr>
      <w:rFonts w:cs="OpenSymbol"/>
    </w:rPr>
  </w:style>
  <w:style w:type="character" w:styleId="ListLabel263">
    <w:name w:val="ListLabel 263"/>
    <w:qFormat/>
    <w:rPr>
      <w:rFonts w:cs="OpenSymbol"/>
    </w:rPr>
  </w:style>
  <w:style w:type="character" w:styleId="ListLabel264">
    <w:name w:val="ListLabel 264"/>
    <w:qFormat/>
    <w:rPr>
      <w:rFonts w:cs="OpenSymbol"/>
    </w:rPr>
  </w:style>
  <w:style w:type="character" w:styleId="ListLabel265">
    <w:name w:val="ListLabel 265"/>
    <w:qFormat/>
    <w:rPr>
      <w:rFonts w:cs="OpenSymbol"/>
    </w:rPr>
  </w:style>
  <w:style w:type="character" w:styleId="ListLabel266">
    <w:name w:val="ListLabel 266"/>
    <w:qFormat/>
    <w:rPr>
      <w:rFonts w:cs="OpenSymbol"/>
    </w:rPr>
  </w:style>
  <w:style w:type="character" w:styleId="ListLabel267">
    <w:name w:val="ListLabel 267"/>
    <w:qFormat/>
    <w:rPr>
      <w:rFonts w:cs="OpenSymbol"/>
    </w:rPr>
  </w:style>
  <w:style w:type="character" w:styleId="ListLabel268">
    <w:name w:val="ListLabel 268"/>
    <w:qFormat/>
    <w:rPr>
      <w:rFonts w:cs="OpenSymbol"/>
    </w:rPr>
  </w:style>
  <w:style w:type="character" w:styleId="ListLabel269">
    <w:name w:val="ListLabel 269"/>
    <w:qFormat/>
    <w:rPr>
      <w:rFonts w:cs="OpenSymbol"/>
    </w:rPr>
  </w:style>
  <w:style w:type="character" w:styleId="ListLabel270">
    <w:name w:val="ListLabel 270"/>
    <w:qFormat/>
    <w:rPr>
      <w:rFonts w:cs="OpenSymbol"/>
    </w:rPr>
  </w:style>
  <w:style w:type="character" w:styleId="ListLabel271">
    <w:name w:val="ListLabel 271"/>
    <w:qFormat/>
    <w:rPr>
      <w:rFonts w:cs="OpenSymbol"/>
    </w:rPr>
  </w:style>
  <w:style w:type="character" w:styleId="ListLabel272">
    <w:name w:val="ListLabel 272"/>
    <w:qFormat/>
    <w:rPr>
      <w:rFonts w:cs="OpenSymbol"/>
    </w:rPr>
  </w:style>
  <w:style w:type="character" w:styleId="ListLabel273">
    <w:name w:val="ListLabel 273"/>
    <w:qFormat/>
    <w:rPr>
      <w:rFonts w:cs="OpenSymbol"/>
    </w:rPr>
  </w:style>
  <w:style w:type="character" w:styleId="ListLabel274">
    <w:name w:val="ListLabel 274"/>
    <w:qFormat/>
    <w:rPr>
      <w:rFonts w:cs="OpenSymbol"/>
    </w:rPr>
  </w:style>
  <w:style w:type="character" w:styleId="ListLabel275">
    <w:name w:val="ListLabel 275"/>
    <w:qFormat/>
    <w:rPr>
      <w:rFonts w:cs="OpenSymbol"/>
    </w:rPr>
  </w:style>
  <w:style w:type="character" w:styleId="ListLabel276">
    <w:name w:val="ListLabel 276"/>
    <w:qFormat/>
    <w:rPr>
      <w:rFonts w:cs="OpenSymbol"/>
    </w:rPr>
  </w:style>
  <w:style w:type="character" w:styleId="ListLabel277">
    <w:name w:val="ListLabel 277"/>
    <w:qFormat/>
    <w:rPr>
      <w:rFonts w:cs="OpenSymbol"/>
    </w:rPr>
  </w:style>
  <w:style w:type="character" w:styleId="ListLabel278">
    <w:name w:val="ListLabel 278"/>
    <w:qFormat/>
    <w:rPr>
      <w:rFonts w:cs="OpenSymbol"/>
    </w:rPr>
  </w:style>
  <w:style w:type="character" w:styleId="ListLabel279">
    <w:name w:val="ListLabel 279"/>
    <w:qFormat/>
    <w:rPr>
      <w:rFonts w:cs="OpenSymbol"/>
    </w:rPr>
  </w:style>
  <w:style w:type="character" w:styleId="ListLabel280">
    <w:name w:val="ListLabel 280"/>
    <w:qFormat/>
    <w:rPr>
      <w:rFonts w:cs="Wingdings"/>
    </w:rPr>
  </w:style>
  <w:style w:type="character" w:styleId="ListLabel281">
    <w:name w:val="ListLabel 281"/>
    <w:qFormat/>
    <w:rPr>
      <w:rFonts w:cs="Wingdings"/>
    </w:rPr>
  </w:style>
  <w:style w:type="character" w:styleId="ListLabel282">
    <w:name w:val="ListLabel 282"/>
    <w:qFormat/>
    <w:rPr>
      <w:rFonts w:cs="Wingdings"/>
    </w:rPr>
  </w:style>
  <w:style w:type="character" w:styleId="ListLabel283">
    <w:name w:val="ListLabel 283"/>
    <w:qFormat/>
    <w:rPr>
      <w:rFonts w:cs="Wingdings"/>
    </w:rPr>
  </w:style>
  <w:style w:type="character" w:styleId="ListLabel284">
    <w:name w:val="ListLabel 284"/>
    <w:qFormat/>
    <w:rPr>
      <w:rFonts w:cs="Wingdings"/>
    </w:rPr>
  </w:style>
  <w:style w:type="character" w:styleId="ListLabel285">
    <w:name w:val="ListLabel 285"/>
    <w:qFormat/>
    <w:rPr>
      <w:rFonts w:cs="Wingdings"/>
    </w:rPr>
  </w:style>
  <w:style w:type="character" w:styleId="ListLabel286">
    <w:name w:val="ListLabel 286"/>
    <w:qFormat/>
    <w:rPr>
      <w:rFonts w:cs="Wingdings"/>
    </w:rPr>
  </w:style>
  <w:style w:type="character" w:styleId="ListLabel287">
    <w:name w:val="ListLabel 287"/>
    <w:qFormat/>
    <w:rPr>
      <w:rFonts w:cs="Wingdings"/>
    </w:rPr>
  </w:style>
  <w:style w:type="character" w:styleId="ListLabel288">
    <w:name w:val="ListLabel 288"/>
    <w:qFormat/>
    <w:rPr>
      <w:rFonts w:cs="Wingdings"/>
    </w:rPr>
  </w:style>
  <w:style w:type="character" w:styleId="ListLabel289">
    <w:name w:val="ListLabel 289"/>
    <w:qFormat/>
    <w:rPr>
      <w:rFonts w:cs="OpenSymbol"/>
      <w:sz w:val="24"/>
    </w:rPr>
  </w:style>
  <w:style w:type="character" w:styleId="ListLabel290">
    <w:name w:val="ListLabel 290"/>
    <w:qFormat/>
    <w:rPr>
      <w:rFonts w:cs="OpenSymbol"/>
    </w:rPr>
  </w:style>
  <w:style w:type="character" w:styleId="ListLabel291">
    <w:name w:val="ListLabel 291"/>
    <w:qFormat/>
    <w:rPr>
      <w:rFonts w:cs="OpenSymbol"/>
    </w:rPr>
  </w:style>
  <w:style w:type="character" w:styleId="ListLabel292">
    <w:name w:val="ListLabel 292"/>
    <w:qFormat/>
    <w:rPr>
      <w:rFonts w:cs="OpenSymbol"/>
    </w:rPr>
  </w:style>
  <w:style w:type="character" w:styleId="ListLabel293">
    <w:name w:val="ListLabel 293"/>
    <w:qFormat/>
    <w:rPr>
      <w:rFonts w:cs="OpenSymbol"/>
    </w:rPr>
  </w:style>
  <w:style w:type="character" w:styleId="ListLabel294">
    <w:name w:val="ListLabel 294"/>
    <w:qFormat/>
    <w:rPr>
      <w:rFonts w:cs="OpenSymbol"/>
    </w:rPr>
  </w:style>
  <w:style w:type="character" w:styleId="ListLabel295">
    <w:name w:val="ListLabel 295"/>
    <w:qFormat/>
    <w:rPr>
      <w:rFonts w:cs="OpenSymbol"/>
    </w:rPr>
  </w:style>
  <w:style w:type="character" w:styleId="ListLabel296">
    <w:name w:val="ListLabel 296"/>
    <w:qFormat/>
    <w:rPr>
      <w:rFonts w:cs="OpenSymbol"/>
    </w:rPr>
  </w:style>
  <w:style w:type="character" w:styleId="ListLabel297">
    <w:name w:val="ListLabel 297"/>
    <w:qFormat/>
    <w:rPr>
      <w:rFonts w:cs="OpenSymbol"/>
    </w:rPr>
  </w:style>
  <w:style w:type="character" w:styleId="ListLabel298">
    <w:name w:val="ListLabel 298"/>
    <w:qFormat/>
    <w:rPr>
      <w:rFonts w:cs="OpenSymbol"/>
      <w:sz w:val="24"/>
    </w:rPr>
  </w:style>
  <w:style w:type="character" w:styleId="ListLabel299">
    <w:name w:val="ListLabel 299"/>
    <w:qFormat/>
    <w:rPr>
      <w:rFonts w:cs="OpenSymbol"/>
    </w:rPr>
  </w:style>
  <w:style w:type="character" w:styleId="ListLabel300">
    <w:name w:val="ListLabel 300"/>
    <w:qFormat/>
    <w:rPr>
      <w:rFonts w:cs="OpenSymbol"/>
    </w:rPr>
  </w:style>
  <w:style w:type="character" w:styleId="ListLabel301">
    <w:name w:val="ListLabel 301"/>
    <w:qFormat/>
    <w:rPr>
      <w:rFonts w:cs="OpenSymbol"/>
    </w:rPr>
  </w:style>
  <w:style w:type="character" w:styleId="ListLabel302">
    <w:name w:val="ListLabel 302"/>
    <w:qFormat/>
    <w:rPr>
      <w:rFonts w:cs="OpenSymbol"/>
    </w:rPr>
  </w:style>
  <w:style w:type="character" w:styleId="ListLabel303">
    <w:name w:val="ListLabel 303"/>
    <w:qFormat/>
    <w:rPr>
      <w:rFonts w:cs="OpenSymbol"/>
    </w:rPr>
  </w:style>
  <w:style w:type="character" w:styleId="ListLabel304">
    <w:name w:val="ListLabel 304"/>
    <w:qFormat/>
    <w:rPr>
      <w:rFonts w:cs="OpenSymbol"/>
    </w:rPr>
  </w:style>
  <w:style w:type="character" w:styleId="ListLabel305">
    <w:name w:val="ListLabel 305"/>
    <w:qFormat/>
    <w:rPr>
      <w:rFonts w:cs="OpenSymbol"/>
    </w:rPr>
  </w:style>
  <w:style w:type="character" w:styleId="ListLabel306">
    <w:name w:val="ListLabel 306"/>
    <w:qFormat/>
    <w:rPr>
      <w:rFonts w:cs="OpenSymbol"/>
    </w:rPr>
  </w:style>
  <w:style w:type="character" w:styleId="ListLabel307">
    <w:name w:val="ListLabel 307"/>
    <w:qFormat/>
    <w:rPr>
      <w:rFonts w:cs="OpenSymbol"/>
    </w:rPr>
  </w:style>
  <w:style w:type="character" w:styleId="ListLabel308">
    <w:name w:val="ListLabel 308"/>
    <w:qFormat/>
    <w:rPr>
      <w:rFonts w:cs="OpenSymbol"/>
    </w:rPr>
  </w:style>
  <w:style w:type="character" w:styleId="ListLabel309">
    <w:name w:val="ListLabel 309"/>
    <w:qFormat/>
    <w:rPr>
      <w:rFonts w:cs="OpenSymbol"/>
    </w:rPr>
  </w:style>
  <w:style w:type="character" w:styleId="ListLabel310">
    <w:name w:val="ListLabel 310"/>
    <w:qFormat/>
    <w:rPr>
      <w:rFonts w:cs="OpenSymbol"/>
    </w:rPr>
  </w:style>
  <w:style w:type="character" w:styleId="ListLabel311">
    <w:name w:val="ListLabel 311"/>
    <w:qFormat/>
    <w:rPr>
      <w:rFonts w:cs="OpenSymbol"/>
    </w:rPr>
  </w:style>
  <w:style w:type="character" w:styleId="ListLabel312">
    <w:name w:val="ListLabel 312"/>
    <w:qFormat/>
    <w:rPr>
      <w:rFonts w:cs="OpenSymbol"/>
    </w:rPr>
  </w:style>
  <w:style w:type="character" w:styleId="ListLabel313">
    <w:name w:val="ListLabel 313"/>
    <w:qFormat/>
    <w:rPr>
      <w:rFonts w:cs="OpenSymbol"/>
    </w:rPr>
  </w:style>
  <w:style w:type="character" w:styleId="ListLabel314">
    <w:name w:val="ListLabel 314"/>
    <w:qFormat/>
    <w:rPr>
      <w:rFonts w:cs="OpenSymbol"/>
    </w:rPr>
  </w:style>
  <w:style w:type="character" w:styleId="ListLabel315">
    <w:name w:val="ListLabel 315"/>
    <w:qFormat/>
    <w:rPr>
      <w:rFonts w:cs="OpenSymbol"/>
    </w:rPr>
  </w:style>
  <w:style w:type="character" w:styleId="ListLabel316">
    <w:name w:val="ListLabel 316"/>
    <w:qFormat/>
    <w:rPr>
      <w:rFonts w:cs="OpenSymbol"/>
    </w:rPr>
  </w:style>
  <w:style w:type="character" w:styleId="ListLabel317">
    <w:name w:val="ListLabel 317"/>
    <w:qFormat/>
    <w:rPr>
      <w:rFonts w:cs="OpenSymbol"/>
    </w:rPr>
  </w:style>
  <w:style w:type="character" w:styleId="ListLabel318">
    <w:name w:val="ListLabel 318"/>
    <w:qFormat/>
    <w:rPr>
      <w:rFonts w:cs="OpenSymbol"/>
    </w:rPr>
  </w:style>
  <w:style w:type="character" w:styleId="ListLabel319">
    <w:name w:val="ListLabel 319"/>
    <w:qFormat/>
    <w:rPr>
      <w:rFonts w:cs="OpenSymbol"/>
    </w:rPr>
  </w:style>
  <w:style w:type="character" w:styleId="ListLabel320">
    <w:name w:val="ListLabel 320"/>
    <w:qFormat/>
    <w:rPr>
      <w:rFonts w:cs="OpenSymbol"/>
    </w:rPr>
  </w:style>
  <w:style w:type="character" w:styleId="ListLabel321">
    <w:name w:val="ListLabel 321"/>
    <w:qFormat/>
    <w:rPr>
      <w:rFonts w:cs="OpenSymbol"/>
    </w:rPr>
  </w:style>
  <w:style w:type="character" w:styleId="ListLabel322">
    <w:name w:val="ListLabel 322"/>
    <w:qFormat/>
    <w:rPr>
      <w:rFonts w:cs="OpenSymbol"/>
    </w:rPr>
  </w:style>
  <w:style w:type="character" w:styleId="ListLabel323">
    <w:name w:val="ListLabel 323"/>
    <w:qFormat/>
    <w:rPr>
      <w:rFonts w:cs="OpenSymbol"/>
    </w:rPr>
  </w:style>
  <w:style w:type="character" w:styleId="ListLabel324">
    <w:name w:val="ListLabel 324"/>
    <w:qFormat/>
    <w:rPr>
      <w:rFonts w:cs="OpenSymbol"/>
    </w:rPr>
  </w:style>
  <w:style w:type="character" w:styleId="ListLabel325">
    <w:name w:val="ListLabel 325"/>
    <w:qFormat/>
    <w:rPr>
      <w:rFonts w:cs="Wingdings"/>
    </w:rPr>
  </w:style>
  <w:style w:type="character" w:styleId="ListLabel326">
    <w:name w:val="ListLabel 326"/>
    <w:qFormat/>
    <w:rPr>
      <w:rFonts w:cs="Wingdings"/>
    </w:rPr>
  </w:style>
  <w:style w:type="character" w:styleId="ListLabel327">
    <w:name w:val="ListLabel 327"/>
    <w:qFormat/>
    <w:rPr>
      <w:rFonts w:cs="Wingdings"/>
    </w:rPr>
  </w:style>
  <w:style w:type="character" w:styleId="ListLabel328">
    <w:name w:val="ListLabel 328"/>
    <w:qFormat/>
    <w:rPr>
      <w:rFonts w:cs="Wingdings"/>
    </w:rPr>
  </w:style>
  <w:style w:type="character" w:styleId="ListLabel329">
    <w:name w:val="ListLabel 329"/>
    <w:qFormat/>
    <w:rPr>
      <w:rFonts w:cs="Wingdings"/>
    </w:rPr>
  </w:style>
  <w:style w:type="character" w:styleId="ListLabel330">
    <w:name w:val="ListLabel 330"/>
    <w:qFormat/>
    <w:rPr>
      <w:rFonts w:cs="Wingdings"/>
    </w:rPr>
  </w:style>
  <w:style w:type="character" w:styleId="ListLabel331">
    <w:name w:val="ListLabel 331"/>
    <w:qFormat/>
    <w:rPr>
      <w:rFonts w:cs="Wingdings"/>
    </w:rPr>
  </w:style>
  <w:style w:type="character" w:styleId="ListLabel332">
    <w:name w:val="ListLabel 332"/>
    <w:qFormat/>
    <w:rPr>
      <w:rFonts w:cs="Wingdings"/>
    </w:rPr>
  </w:style>
  <w:style w:type="character" w:styleId="ListLabel333">
    <w:name w:val="ListLabel 333"/>
    <w:qFormat/>
    <w:rPr>
      <w:rFonts w:cs="Wingdings"/>
    </w:rPr>
  </w:style>
  <w:style w:type="character" w:styleId="ListLabel334">
    <w:name w:val="ListLabel 334"/>
    <w:qFormat/>
    <w:rPr>
      <w:rFonts w:cs="OpenSymbol"/>
      <w:sz w:val="24"/>
    </w:rPr>
  </w:style>
  <w:style w:type="character" w:styleId="ListLabel335">
    <w:name w:val="ListLabel 335"/>
    <w:qFormat/>
    <w:rPr>
      <w:rFonts w:cs="OpenSymbol"/>
    </w:rPr>
  </w:style>
  <w:style w:type="character" w:styleId="ListLabel336">
    <w:name w:val="ListLabel 336"/>
    <w:qFormat/>
    <w:rPr>
      <w:rFonts w:cs="OpenSymbol"/>
    </w:rPr>
  </w:style>
  <w:style w:type="character" w:styleId="ListLabel337">
    <w:name w:val="ListLabel 337"/>
    <w:qFormat/>
    <w:rPr>
      <w:rFonts w:cs="OpenSymbol"/>
    </w:rPr>
  </w:style>
  <w:style w:type="character" w:styleId="ListLabel338">
    <w:name w:val="ListLabel 338"/>
    <w:qFormat/>
    <w:rPr>
      <w:rFonts w:cs="OpenSymbol"/>
    </w:rPr>
  </w:style>
  <w:style w:type="character" w:styleId="ListLabel339">
    <w:name w:val="ListLabel 339"/>
    <w:qFormat/>
    <w:rPr>
      <w:rFonts w:cs="OpenSymbol"/>
    </w:rPr>
  </w:style>
  <w:style w:type="character" w:styleId="ListLabel340">
    <w:name w:val="ListLabel 340"/>
    <w:qFormat/>
    <w:rPr>
      <w:rFonts w:cs="OpenSymbol"/>
    </w:rPr>
  </w:style>
  <w:style w:type="character" w:styleId="ListLabel341">
    <w:name w:val="ListLabel 341"/>
    <w:qFormat/>
    <w:rPr>
      <w:rFonts w:cs="OpenSymbol"/>
    </w:rPr>
  </w:style>
  <w:style w:type="character" w:styleId="ListLabel342">
    <w:name w:val="ListLabel 342"/>
    <w:qFormat/>
    <w:rPr>
      <w:rFonts w:cs="OpenSymbol"/>
    </w:rPr>
  </w:style>
  <w:style w:type="character" w:styleId="ListLabel343">
    <w:name w:val="ListLabel 343"/>
    <w:qFormat/>
    <w:rPr>
      <w:rFonts w:cs="OpenSymbol"/>
      <w:sz w:val="24"/>
    </w:rPr>
  </w:style>
  <w:style w:type="character" w:styleId="ListLabel344">
    <w:name w:val="ListLabel 344"/>
    <w:qFormat/>
    <w:rPr>
      <w:rFonts w:cs="OpenSymbol"/>
    </w:rPr>
  </w:style>
  <w:style w:type="character" w:styleId="ListLabel345">
    <w:name w:val="ListLabel 345"/>
    <w:qFormat/>
    <w:rPr>
      <w:rFonts w:cs="OpenSymbol"/>
    </w:rPr>
  </w:style>
  <w:style w:type="character" w:styleId="ListLabel346">
    <w:name w:val="ListLabel 346"/>
    <w:qFormat/>
    <w:rPr>
      <w:rFonts w:cs="OpenSymbol"/>
    </w:rPr>
  </w:style>
  <w:style w:type="character" w:styleId="ListLabel347">
    <w:name w:val="ListLabel 347"/>
    <w:qFormat/>
    <w:rPr>
      <w:rFonts w:cs="OpenSymbol"/>
    </w:rPr>
  </w:style>
  <w:style w:type="character" w:styleId="ListLabel348">
    <w:name w:val="ListLabel 348"/>
    <w:qFormat/>
    <w:rPr>
      <w:rFonts w:cs="OpenSymbol"/>
    </w:rPr>
  </w:style>
  <w:style w:type="character" w:styleId="ListLabel349">
    <w:name w:val="ListLabel 349"/>
    <w:qFormat/>
    <w:rPr>
      <w:rFonts w:cs="OpenSymbol"/>
    </w:rPr>
  </w:style>
  <w:style w:type="character" w:styleId="ListLabel350">
    <w:name w:val="ListLabel 350"/>
    <w:qFormat/>
    <w:rPr>
      <w:rFonts w:cs="OpenSymbol"/>
    </w:rPr>
  </w:style>
  <w:style w:type="character" w:styleId="ListLabel351">
    <w:name w:val="ListLabel 351"/>
    <w:qFormat/>
    <w:rPr>
      <w:rFonts w:cs="OpenSymbol"/>
    </w:rPr>
  </w:style>
  <w:style w:type="character" w:styleId="ListLabel352">
    <w:name w:val="ListLabel 352"/>
    <w:qFormat/>
    <w:rPr>
      <w:rFonts w:cs="OpenSymbol"/>
    </w:rPr>
  </w:style>
  <w:style w:type="character" w:styleId="ListLabel353">
    <w:name w:val="ListLabel 353"/>
    <w:qFormat/>
    <w:rPr>
      <w:rFonts w:cs="OpenSymbol"/>
    </w:rPr>
  </w:style>
  <w:style w:type="character" w:styleId="ListLabel354">
    <w:name w:val="ListLabel 354"/>
    <w:qFormat/>
    <w:rPr>
      <w:rFonts w:cs="OpenSymbol"/>
    </w:rPr>
  </w:style>
  <w:style w:type="character" w:styleId="ListLabel355">
    <w:name w:val="ListLabel 355"/>
    <w:qFormat/>
    <w:rPr>
      <w:rFonts w:cs="OpenSymbol"/>
    </w:rPr>
  </w:style>
  <w:style w:type="character" w:styleId="ListLabel356">
    <w:name w:val="ListLabel 356"/>
    <w:qFormat/>
    <w:rPr>
      <w:rFonts w:cs="OpenSymbol"/>
    </w:rPr>
  </w:style>
  <w:style w:type="character" w:styleId="ListLabel357">
    <w:name w:val="ListLabel 357"/>
    <w:qFormat/>
    <w:rPr>
      <w:rFonts w:cs="OpenSymbol"/>
    </w:rPr>
  </w:style>
  <w:style w:type="character" w:styleId="ListLabel358">
    <w:name w:val="ListLabel 358"/>
    <w:qFormat/>
    <w:rPr>
      <w:rFonts w:cs="OpenSymbol"/>
    </w:rPr>
  </w:style>
  <w:style w:type="character" w:styleId="ListLabel359">
    <w:name w:val="ListLabel 359"/>
    <w:qFormat/>
    <w:rPr>
      <w:rFonts w:cs="OpenSymbol"/>
    </w:rPr>
  </w:style>
  <w:style w:type="character" w:styleId="ListLabel360">
    <w:name w:val="ListLabel 360"/>
    <w:qFormat/>
    <w:rPr>
      <w:rFonts w:cs="OpenSymbol"/>
    </w:rPr>
  </w:style>
  <w:style w:type="character" w:styleId="ListLabel361">
    <w:name w:val="ListLabel 361"/>
    <w:qFormat/>
    <w:rPr>
      <w:rFonts w:cs="OpenSymbol"/>
    </w:rPr>
  </w:style>
  <w:style w:type="character" w:styleId="ListLabel362">
    <w:name w:val="ListLabel 362"/>
    <w:qFormat/>
    <w:rPr>
      <w:rFonts w:cs="OpenSymbol"/>
    </w:rPr>
  </w:style>
  <w:style w:type="character" w:styleId="ListLabel363">
    <w:name w:val="ListLabel 363"/>
    <w:qFormat/>
    <w:rPr>
      <w:rFonts w:cs="OpenSymbol"/>
    </w:rPr>
  </w:style>
  <w:style w:type="character" w:styleId="ListLabel364">
    <w:name w:val="ListLabel 364"/>
    <w:qFormat/>
    <w:rPr>
      <w:rFonts w:cs="OpenSymbol"/>
    </w:rPr>
  </w:style>
  <w:style w:type="character" w:styleId="ListLabel365">
    <w:name w:val="ListLabel 365"/>
    <w:qFormat/>
    <w:rPr>
      <w:rFonts w:cs="OpenSymbol"/>
    </w:rPr>
  </w:style>
  <w:style w:type="character" w:styleId="ListLabel366">
    <w:name w:val="ListLabel 366"/>
    <w:qFormat/>
    <w:rPr>
      <w:rFonts w:cs="OpenSymbol"/>
    </w:rPr>
  </w:style>
  <w:style w:type="character" w:styleId="ListLabel367">
    <w:name w:val="ListLabel 367"/>
    <w:qFormat/>
    <w:rPr>
      <w:rFonts w:cs="OpenSymbol"/>
    </w:rPr>
  </w:style>
  <w:style w:type="character" w:styleId="ListLabel368">
    <w:name w:val="ListLabel 368"/>
    <w:qFormat/>
    <w:rPr>
      <w:rFonts w:cs="OpenSymbol"/>
    </w:rPr>
  </w:style>
  <w:style w:type="character" w:styleId="ListLabel369">
    <w:name w:val="ListLabel 369"/>
    <w:qFormat/>
    <w:rPr>
      <w:rFonts w:cs="OpenSymbol"/>
    </w:rPr>
  </w:style>
  <w:style w:type="character" w:styleId="ListLabel370">
    <w:name w:val="ListLabel 370"/>
    <w:qFormat/>
    <w:rPr>
      <w:rFonts w:cs="Wingdings"/>
    </w:rPr>
  </w:style>
  <w:style w:type="character" w:styleId="ListLabel371">
    <w:name w:val="ListLabel 371"/>
    <w:qFormat/>
    <w:rPr>
      <w:rFonts w:cs="Wingdings"/>
    </w:rPr>
  </w:style>
  <w:style w:type="character" w:styleId="ListLabel372">
    <w:name w:val="ListLabel 372"/>
    <w:qFormat/>
    <w:rPr>
      <w:rFonts w:cs="Wingdings"/>
    </w:rPr>
  </w:style>
  <w:style w:type="character" w:styleId="ListLabel373">
    <w:name w:val="ListLabel 373"/>
    <w:qFormat/>
    <w:rPr>
      <w:rFonts w:cs="Wingdings"/>
    </w:rPr>
  </w:style>
  <w:style w:type="character" w:styleId="ListLabel374">
    <w:name w:val="ListLabel 374"/>
    <w:qFormat/>
    <w:rPr>
      <w:rFonts w:cs="Wingdings"/>
    </w:rPr>
  </w:style>
  <w:style w:type="character" w:styleId="ListLabel375">
    <w:name w:val="ListLabel 375"/>
    <w:qFormat/>
    <w:rPr>
      <w:rFonts w:cs="Wingdings"/>
    </w:rPr>
  </w:style>
  <w:style w:type="character" w:styleId="ListLabel376">
    <w:name w:val="ListLabel 376"/>
    <w:qFormat/>
    <w:rPr>
      <w:rFonts w:cs="Wingdings"/>
    </w:rPr>
  </w:style>
  <w:style w:type="character" w:styleId="ListLabel377">
    <w:name w:val="ListLabel 377"/>
    <w:qFormat/>
    <w:rPr>
      <w:rFonts w:cs="Wingdings"/>
    </w:rPr>
  </w:style>
  <w:style w:type="character" w:styleId="ListLabel378">
    <w:name w:val="ListLabel 378"/>
    <w:qFormat/>
    <w:rPr>
      <w:rFonts w:cs="Wingdings"/>
    </w:rPr>
  </w:style>
  <w:style w:type="character" w:styleId="ListLabel379">
    <w:name w:val="ListLabel 379"/>
    <w:qFormat/>
    <w:rPr>
      <w:rFonts w:cs="OpenSymbol"/>
      <w:sz w:val="24"/>
    </w:rPr>
  </w:style>
  <w:style w:type="character" w:styleId="ListLabel380">
    <w:name w:val="ListLabel 380"/>
    <w:qFormat/>
    <w:rPr>
      <w:rFonts w:cs="OpenSymbol"/>
    </w:rPr>
  </w:style>
  <w:style w:type="character" w:styleId="ListLabel381">
    <w:name w:val="ListLabel 381"/>
    <w:qFormat/>
    <w:rPr>
      <w:rFonts w:cs="OpenSymbol"/>
    </w:rPr>
  </w:style>
  <w:style w:type="character" w:styleId="ListLabel382">
    <w:name w:val="ListLabel 382"/>
    <w:qFormat/>
    <w:rPr>
      <w:rFonts w:cs="OpenSymbol"/>
    </w:rPr>
  </w:style>
  <w:style w:type="character" w:styleId="ListLabel383">
    <w:name w:val="ListLabel 383"/>
    <w:qFormat/>
    <w:rPr>
      <w:rFonts w:cs="OpenSymbol"/>
    </w:rPr>
  </w:style>
  <w:style w:type="character" w:styleId="ListLabel384">
    <w:name w:val="ListLabel 384"/>
    <w:qFormat/>
    <w:rPr>
      <w:rFonts w:cs="OpenSymbol"/>
    </w:rPr>
  </w:style>
  <w:style w:type="character" w:styleId="ListLabel385">
    <w:name w:val="ListLabel 385"/>
    <w:qFormat/>
    <w:rPr>
      <w:rFonts w:cs="OpenSymbol"/>
    </w:rPr>
  </w:style>
  <w:style w:type="character" w:styleId="ListLabel386">
    <w:name w:val="ListLabel 386"/>
    <w:qFormat/>
    <w:rPr>
      <w:rFonts w:cs="OpenSymbol"/>
    </w:rPr>
  </w:style>
  <w:style w:type="character" w:styleId="ListLabel387">
    <w:name w:val="ListLabel 387"/>
    <w:qFormat/>
    <w:rPr>
      <w:rFonts w:cs="OpenSymbol"/>
    </w:rPr>
  </w:style>
  <w:style w:type="character" w:styleId="ListLabel388">
    <w:name w:val="ListLabel 388"/>
    <w:qFormat/>
    <w:rPr>
      <w:rFonts w:cs="OpenSymbol"/>
      <w:sz w:val="24"/>
    </w:rPr>
  </w:style>
  <w:style w:type="character" w:styleId="ListLabel389">
    <w:name w:val="ListLabel 389"/>
    <w:qFormat/>
    <w:rPr>
      <w:rFonts w:cs="OpenSymbol"/>
    </w:rPr>
  </w:style>
  <w:style w:type="character" w:styleId="ListLabel390">
    <w:name w:val="ListLabel 390"/>
    <w:qFormat/>
    <w:rPr>
      <w:rFonts w:cs="OpenSymbol"/>
    </w:rPr>
  </w:style>
  <w:style w:type="character" w:styleId="ListLabel391">
    <w:name w:val="ListLabel 391"/>
    <w:qFormat/>
    <w:rPr>
      <w:rFonts w:cs="OpenSymbol"/>
    </w:rPr>
  </w:style>
  <w:style w:type="character" w:styleId="ListLabel392">
    <w:name w:val="ListLabel 392"/>
    <w:qFormat/>
    <w:rPr>
      <w:rFonts w:cs="OpenSymbol"/>
    </w:rPr>
  </w:style>
  <w:style w:type="character" w:styleId="ListLabel393">
    <w:name w:val="ListLabel 393"/>
    <w:qFormat/>
    <w:rPr>
      <w:rFonts w:cs="OpenSymbol"/>
    </w:rPr>
  </w:style>
  <w:style w:type="character" w:styleId="ListLabel394">
    <w:name w:val="ListLabel 394"/>
    <w:qFormat/>
    <w:rPr>
      <w:rFonts w:cs="OpenSymbol"/>
    </w:rPr>
  </w:style>
  <w:style w:type="character" w:styleId="ListLabel395">
    <w:name w:val="ListLabel 395"/>
    <w:qFormat/>
    <w:rPr>
      <w:rFonts w:cs="OpenSymbol"/>
    </w:rPr>
  </w:style>
  <w:style w:type="character" w:styleId="ListLabel396">
    <w:name w:val="ListLabel 396"/>
    <w:qFormat/>
    <w:rPr>
      <w:rFonts w:cs="OpenSymbol"/>
    </w:rPr>
  </w:style>
  <w:style w:type="character" w:styleId="ListLabel397">
    <w:name w:val="ListLabel 397"/>
    <w:qFormat/>
    <w:rPr>
      <w:rFonts w:cs="OpenSymbol"/>
    </w:rPr>
  </w:style>
  <w:style w:type="character" w:styleId="ListLabel398">
    <w:name w:val="ListLabel 398"/>
    <w:qFormat/>
    <w:rPr>
      <w:rFonts w:cs="OpenSymbol"/>
    </w:rPr>
  </w:style>
  <w:style w:type="character" w:styleId="ListLabel399">
    <w:name w:val="ListLabel 399"/>
    <w:qFormat/>
    <w:rPr>
      <w:rFonts w:cs="OpenSymbol"/>
    </w:rPr>
  </w:style>
  <w:style w:type="character" w:styleId="ListLabel400">
    <w:name w:val="ListLabel 400"/>
    <w:qFormat/>
    <w:rPr>
      <w:rFonts w:cs="OpenSymbol"/>
    </w:rPr>
  </w:style>
  <w:style w:type="character" w:styleId="ListLabel401">
    <w:name w:val="ListLabel 401"/>
    <w:qFormat/>
    <w:rPr>
      <w:rFonts w:cs="OpenSymbol"/>
    </w:rPr>
  </w:style>
  <w:style w:type="character" w:styleId="ListLabel402">
    <w:name w:val="ListLabel 402"/>
    <w:qFormat/>
    <w:rPr>
      <w:rFonts w:cs="OpenSymbol"/>
    </w:rPr>
  </w:style>
  <w:style w:type="character" w:styleId="ListLabel403">
    <w:name w:val="ListLabel 403"/>
    <w:qFormat/>
    <w:rPr>
      <w:rFonts w:cs="OpenSymbol"/>
    </w:rPr>
  </w:style>
  <w:style w:type="character" w:styleId="ListLabel404">
    <w:name w:val="ListLabel 404"/>
    <w:qFormat/>
    <w:rPr>
      <w:rFonts w:cs="OpenSymbol"/>
    </w:rPr>
  </w:style>
  <w:style w:type="character" w:styleId="ListLabel405">
    <w:name w:val="ListLabel 405"/>
    <w:qFormat/>
    <w:rPr>
      <w:rFonts w:cs="OpenSymbol"/>
    </w:rPr>
  </w:style>
  <w:style w:type="paragraph" w:styleId="Heading" w:customStyle="1">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wighill-pc.org.uk/"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Relationship Id="rId2" Type="http://schemas.openxmlformats.org/officeDocument/2006/relationships/hyperlink" Target="mailto:jim.hyde@proximity.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Application>LibreOffice/5.2.6.2$Windows_x86 LibreOffice_project/a3100ed2409ebf1c212f5048fbe377c281438fdc</Application>
  <Pages>2</Pages>
  <Words>478</Words>
  <Characters>2576</Characters>
  <CharactersWithSpaces>3171</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2017-04-27T19:41:34Z</cp:lastPrinted>
  <dcterms:modified xsi:type="dcterms:W3CDTF">2017-04-27T19:41:08Z</dcterms:modified>
  <cp:revision>34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